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7"/>
        <w:gridCol w:w="2815"/>
      </w:tblGrid>
      <w:tr w:rsidR="00F1383C" w:rsidRPr="004B40E4"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Default="00F1383C" w:rsidP="00CD0962">
            <w:pPr>
              <w:spacing w:line="256" w:lineRule="auto"/>
              <w:jc w:val="both"/>
              <w:rPr>
                <w:rFonts w:ascii="Arial" w:hAnsi="Arial" w:cs="Arial"/>
                <w:b/>
                <w:sz w:val="22"/>
                <w:szCs w:val="22"/>
                <w:lang w:val="en-GB" w:eastAsia="en-US"/>
              </w:rPr>
            </w:pPr>
            <w:r w:rsidRPr="004B40E4">
              <w:rPr>
                <w:rFonts w:ascii="Arial" w:hAnsi="Arial" w:cs="Arial"/>
                <w:b/>
                <w:sz w:val="22"/>
                <w:szCs w:val="22"/>
                <w:lang w:val="en-GB" w:eastAsia="en-US"/>
              </w:rPr>
              <w:t>Title</w:t>
            </w:r>
            <w:r w:rsidRPr="004B40E4">
              <w:rPr>
                <w:rFonts w:ascii="Arial" w:hAnsi="Arial" w:cs="Arial"/>
                <w:sz w:val="22"/>
                <w:szCs w:val="22"/>
                <w:lang w:val="en-GB" w:eastAsia="en-US"/>
              </w:rPr>
              <w:t xml:space="preserve"> of the subject:</w:t>
            </w:r>
            <w:r w:rsidRPr="004B40E4">
              <w:rPr>
                <w:rFonts w:ascii="Arial" w:hAnsi="Arial" w:cs="Arial"/>
                <w:b/>
                <w:sz w:val="22"/>
                <w:szCs w:val="22"/>
                <w:lang w:val="en-GB" w:eastAsia="en-US"/>
              </w:rPr>
              <w:t xml:space="preserve"> </w:t>
            </w:r>
          </w:p>
          <w:p w:rsidR="00F1383C" w:rsidRPr="004B40E4" w:rsidRDefault="00F1383C" w:rsidP="00CD0962">
            <w:pPr>
              <w:spacing w:line="256" w:lineRule="auto"/>
              <w:jc w:val="both"/>
              <w:rPr>
                <w:rFonts w:ascii="Arial" w:hAnsi="Arial" w:cs="Arial"/>
                <w:b/>
                <w:i/>
                <w:sz w:val="22"/>
                <w:szCs w:val="22"/>
                <w:lang w:val="en-GB" w:eastAsia="en-US"/>
              </w:rPr>
            </w:pPr>
            <w:bookmarkStart w:id="0" w:name="_GoBack"/>
            <w:r w:rsidRPr="004B40E4">
              <w:rPr>
                <w:rFonts w:ascii="Arial" w:hAnsi="Arial" w:cs="Arial"/>
                <w:b/>
                <w:sz w:val="22"/>
                <w:szCs w:val="22"/>
                <w:lang w:val="en-GB" w:eastAsia="en-US"/>
              </w:rPr>
              <w:t>Traceability in the food chain MTMEL7017A</w:t>
            </w:r>
            <w:bookmarkEnd w:id="0"/>
          </w:p>
        </w:tc>
        <w:tc>
          <w:tcPr>
            <w:tcW w:w="29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ECTS Credit Points: 3</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sz w:val="22"/>
                <w:szCs w:val="22"/>
                <w:lang w:val="en-GB" w:eastAsia="en-US"/>
              </w:rPr>
            </w:pPr>
            <w:r w:rsidRPr="004B40E4">
              <w:rPr>
                <w:rFonts w:ascii="Arial" w:hAnsi="Arial" w:cs="Arial"/>
                <w:b/>
                <w:sz w:val="22"/>
                <w:szCs w:val="22"/>
                <w:lang w:val="en-GB" w:eastAsia="en-US"/>
              </w:rPr>
              <w:t>Type</w:t>
            </w:r>
            <w:r w:rsidRPr="004B40E4">
              <w:rPr>
                <w:rFonts w:ascii="Arial" w:hAnsi="Arial" w:cs="Arial"/>
                <w:sz w:val="22"/>
                <w:szCs w:val="22"/>
                <w:lang w:val="en-GB" w:eastAsia="en-US"/>
              </w:rPr>
              <w:t xml:space="preserve"> of the subject: </w:t>
            </w:r>
            <w:r w:rsidRPr="004B40E4">
              <w:rPr>
                <w:rFonts w:ascii="Arial" w:hAnsi="Arial" w:cs="Arial"/>
                <w:sz w:val="22"/>
                <w:szCs w:val="22"/>
                <w:u w:val="single"/>
                <w:lang w:val="en-GB" w:eastAsia="en-US"/>
              </w:rPr>
              <w:t>compulsory</w:t>
            </w:r>
            <w:r w:rsidRPr="004B40E4">
              <w:rPr>
                <w:rFonts w:ascii="Arial" w:hAnsi="Arial" w:cs="Arial"/>
                <w:sz w:val="22"/>
                <w:szCs w:val="22"/>
                <w:lang w:val="en-GB" w:eastAsia="en-US"/>
              </w:rPr>
              <w:t xml:space="preserve"> / optional</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40" w:after="40" w:line="256" w:lineRule="auto"/>
              <w:jc w:val="both"/>
              <w:rPr>
                <w:rFonts w:ascii="Arial" w:hAnsi="Arial" w:cs="Arial"/>
                <w:sz w:val="22"/>
                <w:szCs w:val="22"/>
                <w:lang w:val="en-GB" w:eastAsia="en-US"/>
              </w:rPr>
            </w:pPr>
            <w:r w:rsidRPr="004B40E4">
              <w:rPr>
                <w:rFonts w:ascii="Arial" w:hAnsi="Arial" w:cs="Arial"/>
                <w:b/>
                <w:sz w:val="22"/>
                <w:szCs w:val="22"/>
                <w:lang w:val="en-GB" w:eastAsia="en-US"/>
              </w:rPr>
              <w:t xml:space="preserve">Ratio of theory and practice: 50/50 </w:t>
            </w:r>
            <w:r w:rsidRPr="004B40E4">
              <w:rPr>
                <w:rFonts w:ascii="Arial" w:hAnsi="Arial" w:cs="Arial"/>
                <w:sz w:val="22"/>
                <w:szCs w:val="22"/>
                <w:lang w:val="en-GB" w:eastAsia="en-US"/>
              </w:rPr>
              <w:t>(</w:t>
            </w:r>
            <w:proofErr w:type="gramStart"/>
            <w:r w:rsidRPr="004B40E4">
              <w:rPr>
                <w:rFonts w:ascii="Arial" w:hAnsi="Arial" w:cs="Arial"/>
                <w:sz w:val="22"/>
                <w:szCs w:val="22"/>
                <w:lang w:val="en-GB" w:eastAsia="en-US"/>
              </w:rPr>
              <w:t>credit%</w:t>
            </w:r>
            <w:proofErr w:type="gramEnd"/>
            <w:r w:rsidRPr="004B40E4">
              <w:rPr>
                <w:rFonts w:ascii="Arial" w:hAnsi="Arial" w:cs="Arial"/>
                <w:sz w:val="22"/>
                <w:szCs w:val="22"/>
                <w:lang w:val="en-GB" w:eastAsia="en-US"/>
              </w:rPr>
              <w:t>)</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sz w:val="22"/>
                <w:szCs w:val="22"/>
                <w:lang w:val="en-GB" w:eastAsia="en-US"/>
              </w:rPr>
            </w:pPr>
            <w:r w:rsidRPr="004B40E4">
              <w:rPr>
                <w:rFonts w:ascii="Arial" w:hAnsi="Arial" w:cs="Arial"/>
                <w:b/>
                <w:sz w:val="22"/>
                <w:szCs w:val="22"/>
                <w:lang w:val="en-GB" w:eastAsia="en-US"/>
              </w:rPr>
              <w:t>Type and number of classes per semester</w:t>
            </w:r>
            <w:r w:rsidRPr="004B40E4">
              <w:rPr>
                <w:rFonts w:ascii="Arial" w:hAnsi="Arial" w:cs="Arial"/>
                <w:sz w:val="22"/>
                <w:szCs w:val="22"/>
                <w:lang w:val="en-GB" w:eastAsia="en-US"/>
              </w:rPr>
              <w:t xml:space="preserve">: 14 hour(s) lecture and 14 hour(s) practice per </w:t>
            </w:r>
            <w:r w:rsidRPr="004B40E4">
              <w:rPr>
                <w:rFonts w:ascii="Arial" w:hAnsi="Arial" w:cs="Arial"/>
                <w:b/>
                <w:sz w:val="22"/>
                <w:szCs w:val="22"/>
                <w:lang w:val="en-GB" w:eastAsia="en-US"/>
              </w:rPr>
              <w:t>semester.</w:t>
            </w:r>
            <w:r w:rsidRPr="004B40E4">
              <w:rPr>
                <w:rFonts w:ascii="Arial" w:hAnsi="Arial" w:cs="Arial"/>
                <w:sz w:val="22"/>
                <w:szCs w:val="22"/>
                <w:lang w:val="en-GB" w:eastAsia="en-US"/>
              </w:rPr>
              <w:t xml:space="preserve"> Number of teaching hours / week: 1+1 (lecture and practice)</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Type of exam</w:t>
            </w:r>
            <w:r w:rsidRPr="004B40E4">
              <w:rPr>
                <w:rFonts w:ascii="Arial" w:hAnsi="Arial" w:cs="Arial"/>
                <w:sz w:val="22"/>
                <w:szCs w:val="22"/>
                <w:lang w:val="en-GB" w:eastAsia="en-US"/>
              </w:rPr>
              <w:t xml:space="preserve">: </w:t>
            </w:r>
            <w:r w:rsidRPr="004B40E4">
              <w:rPr>
                <w:rFonts w:ascii="Arial" w:hAnsi="Arial" w:cs="Arial"/>
                <w:sz w:val="22"/>
                <w:szCs w:val="22"/>
                <w:u w:val="single"/>
                <w:lang w:val="en-GB" w:eastAsia="en-US"/>
              </w:rPr>
              <w:t>exam</w:t>
            </w:r>
            <w:r w:rsidRPr="004B40E4">
              <w:rPr>
                <w:rFonts w:ascii="Arial" w:hAnsi="Arial" w:cs="Arial"/>
                <w:sz w:val="22"/>
                <w:szCs w:val="22"/>
                <w:lang w:val="en-GB" w:eastAsia="en-US"/>
              </w:rPr>
              <w:t xml:space="preserve"> / practical course mark</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line="256" w:lineRule="auto"/>
              <w:jc w:val="both"/>
              <w:rPr>
                <w:rFonts w:ascii="Arial" w:hAnsi="Arial" w:cs="Arial"/>
                <w:sz w:val="22"/>
                <w:szCs w:val="22"/>
                <w:lang w:val="en-GB" w:eastAsia="en-US"/>
              </w:rPr>
            </w:pPr>
            <w:r w:rsidRPr="004B40E4">
              <w:rPr>
                <w:rFonts w:ascii="Arial" w:hAnsi="Arial" w:cs="Arial"/>
                <w:b/>
                <w:sz w:val="22"/>
                <w:szCs w:val="22"/>
                <w:lang w:val="en-GB" w:eastAsia="en-US"/>
              </w:rPr>
              <w:t>Subject in the curriculum:</w:t>
            </w:r>
            <w:r w:rsidRPr="004B40E4">
              <w:rPr>
                <w:rFonts w:ascii="Arial" w:hAnsi="Arial" w:cs="Arial"/>
                <w:sz w:val="22"/>
                <w:szCs w:val="22"/>
                <w:lang w:val="en-GB" w:eastAsia="en-US"/>
              </w:rPr>
              <w:t xml:space="preserve"> semester 3</w:t>
            </w:r>
          </w:p>
        </w:tc>
      </w:tr>
      <w:tr w:rsidR="00F1383C"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line="256" w:lineRule="auto"/>
              <w:jc w:val="both"/>
              <w:rPr>
                <w:rFonts w:ascii="Arial" w:hAnsi="Arial" w:cs="Arial"/>
                <w:sz w:val="22"/>
                <w:szCs w:val="22"/>
                <w:lang w:val="en-GB" w:eastAsia="en-US"/>
              </w:rPr>
            </w:pPr>
            <w:r w:rsidRPr="004B40E4">
              <w:rPr>
                <w:rFonts w:ascii="Arial" w:hAnsi="Arial" w:cs="Arial"/>
                <w:sz w:val="22"/>
                <w:szCs w:val="22"/>
                <w:lang w:val="en-GB" w:eastAsia="en-US"/>
              </w:rPr>
              <w:t>Preliminary requirements:</w:t>
            </w:r>
            <w:r w:rsidRPr="004B40E4">
              <w:rPr>
                <w:rFonts w:ascii="Arial" w:hAnsi="Arial" w:cs="Arial"/>
                <w:i/>
                <w:sz w:val="22"/>
                <w:szCs w:val="22"/>
                <w:lang w:val="en-GB" w:eastAsia="en-US"/>
              </w:rPr>
              <w:t xml:space="preserve"> </w:t>
            </w:r>
            <w:r w:rsidRPr="004B40E4">
              <w:rPr>
                <w:rFonts w:ascii="Arial" w:hAnsi="Arial" w:cs="Arial"/>
                <w:sz w:val="22"/>
                <w:szCs w:val="22"/>
                <w:lang w:val="en-GB" w:eastAsia="en-US"/>
              </w:rPr>
              <w:t>-</w:t>
            </w:r>
          </w:p>
        </w:tc>
      </w:tr>
    </w:tbl>
    <w:p w:rsidR="00F1383C" w:rsidRPr="004B40E4" w:rsidRDefault="00F1383C" w:rsidP="00F1383C">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1383C"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theory</w:t>
            </w:r>
            <w:r w:rsidRPr="004B40E4">
              <w:rPr>
                <w:rFonts w:ascii="Arial" w:hAnsi="Arial" w:cs="Arial"/>
                <w:sz w:val="22"/>
                <w:szCs w:val="22"/>
                <w:lang w:val="en-GB" w:eastAsia="en-US"/>
              </w:rPr>
              <w:t xml:space="preserve">: </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1383C" w:rsidRPr="004B40E4" w:rsidRDefault="00F1383C"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Course objectives: </w:t>
            </w:r>
          </w:p>
          <w:p w:rsidR="00F1383C" w:rsidRPr="004B40E4" w:rsidRDefault="00F1383C"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US" w:eastAsia="en-US"/>
              </w:rPr>
              <w:t>The aim of the subject is the introduction of the standards, furthermore</w:t>
            </w:r>
            <w:r>
              <w:rPr>
                <w:rFonts w:ascii="Arial" w:hAnsi="Arial" w:cs="Arial"/>
                <w:sz w:val="22"/>
                <w:szCs w:val="22"/>
                <w:lang w:val="en-US" w:eastAsia="en-US"/>
              </w:rPr>
              <w:t>,</w:t>
            </w:r>
            <w:r w:rsidRPr="004B40E4">
              <w:rPr>
                <w:rFonts w:ascii="Arial" w:hAnsi="Arial" w:cs="Arial"/>
                <w:sz w:val="22"/>
                <w:szCs w:val="22"/>
                <w:lang w:val="en-US" w:eastAsia="en-US"/>
              </w:rPr>
              <w:t xml:space="preserve"> the development, </w:t>
            </w:r>
            <w:r>
              <w:rPr>
                <w:rFonts w:ascii="Arial" w:hAnsi="Arial" w:cs="Arial"/>
                <w:sz w:val="22"/>
                <w:szCs w:val="22"/>
                <w:lang w:val="en-US" w:eastAsia="en-US"/>
              </w:rPr>
              <w:t xml:space="preserve">operation and certification of </w:t>
            </w:r>
            <w:r w:rsidRPr="004B40E4">
              <w:rPr>
                <w:rFonts w:ascii="Arial" w:hAnsi="Arial" w:cs="Arial"/>
                <w:sz w:val="22"/>
                <w:szCs w:val="22"/>
                <w:lang w:val="en-US" w:eastAsia="en-US"/>
              </w:rPr>
              <w:t xml:space="preserve">quality, environmental and food safety systems. </w:t>
            </w:r>
          </w:p>
          <w:p w:rsidR="00F1383C" w:rsidRPr="004B40E4" w:rsidRDefault="00F1383C" w:rsidP="00CD0962">
            <w:pPr>
              <w:spacing w:line="256" w:lineRule="auto"/>
              <w:ind w:left="34"/>
              <w:jc w:val="both"/>
              <w:rPr>
                <w:rStyle w:val="st"/>
                <w:rFonts w:ascii="Arial" w:hAnsi="Arial" w:cs="Arial"/>
                <w:sz w:val="22"/>
                <w:szCs w:val="22"/>
              </w:rPr>
            </w:pP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rPr>
            </w:pPr>
            <w:r w:rsidRPr="004B40E4">
              <w:rPr>
                <w:rFonts w:ascii="Arial" w:hAnsi="Arial" w:cs="Arial"/>
                <w:sz w:val="22"/>
                <w:szCs w:val="22"/>
                <w:lang w:val="en-US" w:eastAsia="en-US"/>
              </w:rPr>
              <w:t>Introduction. Definitions. The relationship between the food chain safety and traceability</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Aims, significance and benefits of traceability </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Types of tracing procedures and their characteristics</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Regulations and standards related to food traceability</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 xml:space="preserve">Follow-up systems in case of plant origin foods </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Follow-up systems in case of animal origin foods</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TIR and ENAR system</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US" w:eastAsia="en-US"/>
              </w:rPr>
            </w:pPr>
            <w:r w:rsidRPr="004B40E4">
              <w:rPr>
                <w:rFonts w:ascii="Arial" w:hAnsi="Arial" w:cs="Arial"/>
                <w:sz w:val="22"/>
                <w:szCs w:val="22"/>
                <w:lang w:val="en-US" w:eastAsia="en-US"/>
              </w:rPr>
              <w:t>GS1 system and standards</w:t>
            </w:r>
          </w:p>
          <w:p w:rsidR="00F1383C" w:rsidRPr="004B40E4" w:rsidRDefault="00F1383C" w:rsidP="00F1383C">
            <w:pPr>
              <w:pStyle w:val="Listaszerbekezds"/>
              <w:numPr>
                <w:ilvl w:val="0"/>
                <w:numId w:val="32"/>
              </w:numPr>
              <w:autoSpaceDE w:val="0"/>
              <w:adjustRightInd w:val="0"/>
              <w:spacing w:line="256" w:lineRule="auto"/>
              <w:contextualSpacing/>
              <w:rPr>
                <w:rFonts w:ascii="Arial" w:hAnsi="Arial" w:cs="Arial"/>
                <w:sz w:val="22"/>
                <w:szCs w:val="22"/>
                <w:lang w:val="en-GB" w:eastAsia="en-US"/>
              </w:rPr>
            </w:pPr>
            <w:r w:rsidRPr="004B40E4">
              <w:rPr>
                <w:rFonts w:ascii="Arial" w:hAnsi="Arial" w:cs="Arial"/>
                <w:sz w:val="22"/>
                <w:szCs w:val="22"/>
                <w:lang w:val="en-US" w:eastAsia="en-US"/>
              </w:rPr>
              <w:t>Types of bar codes and their characteristics. RFID system</w:t>
            </w:r>
          </w:p>
          <w:p w:rsidR="00F1383C" w:rsidRPr="004B40E4" w:rsidRDefault="00F1383C" w:rsidP="00CD0962">
            <w:pPr>
              <w:pStyle w:val="Listaszerbekezds"/>
              <w:autoSpaceDE w:val="0"/>
              <w:adjustRightInd w:val="0"/>
              <w:spacing w:line="256" w:lineRule="auto"/>
              <w:rPr>
                <w:rFonts w:ascii="Arial" w:hAnsi="Arial" w:cs="Arial"/>
                <w:sz w:val="22"/>
                <w:szCs w:val="22"/>
                <w:lang w:val="en-GB" w:eastAsia="en-US"/>
              </w:rPr>
            </w:pPr>
          </w:p>
        </w:tc>
      </w:tr>
      <w:tr w:rsidR="00F1383C"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practice</w:t>
            </w:r>
            <w:r w:rsidRPr="004B40E4">
              <w:rPr>
                <w:rFonts w:ascii="Arial" w:hAnsi="Arial" w:cs="Arial"/>
                <w:sz w:val="22"/>
                <w:szCs w:val="22"/>
                <w:lang w:val="en-GB" w:eastAsia="en-US"/>
              </w:rPr>
              <w:t xml:space="preserve">: </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1383C" w:rsidRPr="004B40E4" w:rsidRDefault="00F1383C" w:rsidP="00CD0962">
            <w:pPr>
              <w:spacing w:line="256" w:lineRule="auto"/>
              <w:ind w:left="34"/>
              <w:jc w:val="both"/>
              <w:rPr>
                <w:rFonts w:ascii="Arial" w:hAnsi="Arial" w:cs="Arial"/>
                <w:sz w:val="22"/>
                <w:szCs w:val="22"/>
                <w:lang w:eastAsia="en-US"/>
              </w:rPr>
            </w:pPr>
            <w:r w:rsidRPr="004B40E4">
              <w:rPr>
                <w:rFonts w:ascii="Arial" w:hAnsi="Arial" w:cs="Arial"/>
                <w:sz w:val="22"/>
                <w:szCs w:val="22"/>
                <w:lang w:val="en-GB" w:eastAsia="en-US"/>
              </w:rPr>
              <w:t>Skills to be learnt</w:t>
            </w:r>
            <w:r w:rsidRPr="004B40E4">
              <w:rPr>
                <w:rFonts w:ascii="Arial" w:hAnsi="Arial" w:cs="Arial"/>
                <w:sz w:val="22"/>
                <w:szCs w:val="22"/>
                <w:lang w:eastAsia="en-US"/>
              </w:rPr>
              <w:t xml:space="preserve">: </w:t>
            </w:r>
            <w:r w:rsidRPr="004B40E4">
              <w:rPr>
                <w:rFonts w:ascii="Arial" w:hAnsi="Arial" w:cs="Arial"/>
                <w:sz w:val="22"/>
                <w:szCs w:val="22"/>
                <w:lang w:val="en-GB" w:eastAsia="en-US"/>
              </w:rPr>
              <w:t>Familiar with the follow-up techniques and their application in practice. Design and implement a traceability system.</w:t>
            </w:r>
            <w:r w:rsidRPr="004B40E4">
              <w:rPr>
                <w:rFonts w:ascii="Arial" w:hAnsi="Arial" w:cs="Arial"/>
                <w:sz w:val="22"/>
                <w:szCs w:val="22"/>
                <w:lang w:val="en-US" w:eastAsia="en-US"/>
              </w:rPr>
              <w:t xml:space="preserve"> </w:t>
            </w:r>
          </w:p>
          <w:p w:rsidR="00F1383C" w:rsidRPr="004B40E4" w:rsidRDefault="00F1383C" w:rsidP="00CD0962">
            <w:pPr>
              <w:spacing w:line="256" w:lineRule="auto"/>
              <w:ind w:left="34"/>
              <w:jc w:val="both"/>
              <w:rPr>
                <w:rFonts w:ascii="Arial" w:hAnsi="Arial" w:cs="Arial"/>
                <w:sz w:val="22"/>
                <w:szCs w:val="22"/>
                <w:lang w:eastAsia="en-US"/>
              </w:rPr>
            </w:pPr>
            <w:r w:rsidRPr="004B40E4">
              <w:rPr>
                <w:rFonts w:ascii="Arial" w:hAnsi="Arial" w:cs="Arial"/>
                <w:sz w:val="22"/>
                <w:szCs w:val="22"/>
                <w:lang w:eastAsia="en-US"/>
              </w:rPr>
              <w:t xml:space="preserve">  </w:t>
            </w:r>
          </w:p>
          <w:p w:rsidR="00F1383C" w:rsidRPr="004B40E4" w:rsidRDefault="00F1383C" w:rsidP="00F1383C">
            <w:pPr>
              <w:pStyle w:val="Listaszerbekezds"/>
              <w:numPr>
                <w:ilvl w:val="0"/>
                <w:numId w:val="3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Definitions, importance, objectives, types and principles of the traceability</w:t>
            </w:r>
            <w:r w:rsidRPr="004B40E4">
              <w:rPr>
                <w:rFonts w:ascii="Arial" w:hAnsi="Arial" w:cs="Arial"/>
                <w:webHidden/>
                <w:sz w:val="22"/>
                <w:szCs w:val="22"/>
                <w:lang w:val="en-GB" w:eastAsia="en-US"/>
              </w:rPr>
              <w:tab/>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webHidden/>
                <w:sz w:val="22"/>
                <w:szCs w:val="22"/>
                <w:lang w:val="en-GB" w:eastAsia="en-US"/>
              </w:rPr>
            </w:pPr>
            <w:r w:rsidRPr="004B40E4">
              <w:rPr>
                <w:rFonts w:ascii="Arial" w:hAnsi="Arial" w:cs="Arial"/>
                <w:sz w:val="22"/>
                <w:szCs w:val="22"/>
                <w:lang w:val="en-GB" w:eastAsia="en-US"/>
              </w:rPr>
              <w:t>Definitions, importance, objectives, types and principles of the traceability</w:t>
            </w:r>
            <w:r w:rsidRPr="004B40E4">
              <w:rPr>
                <w:rFonts w:ascii="Arial" w:hAnsi="Arial" w:cs="Arial"/>
                <w:webHidden/>
                <w:sz w:val="22"/>
                <w:szCs w:val="22"/>
                <w:lang w:val="en-GB" w:eastAsia="en-US"/>
              </w:rPr>
              <w:tab/>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GS1 system and standard</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GS1 system and standard</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Types and application of barcodes</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Types and application of barcodes</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Application of RFID technology in traceability</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Application of RFID technology in traceability</w:t>
            </w:r>
          </w:p>
          <w:p w:rsidR="00F1383C" w:rsidRPr="004B40E4" w:rsidRDefault="00F1383C" w:rsidP="00F1383C">
            <w:pPr>
              <w:pStyle w:val="Listaszerbekezds"/>
              <w:numPr>
                <w:ilvl w:val="0"/>
                <w:numId w:val="33"/>
              </w:numPr>
              <w:autoSpaceDN/>
              <w:spacing w:line="256"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Design and implementation of a traceability system</w:t>
            </w:r>
          </w:p>
          <w:p w:rsidR="00F1383C" w:rsidRPr="004B40E4" w:rsidRDefault="00F1383C" w:rsidP="00CD0962">
            <w:pPr>
              <w:pStyle w:val="Listaszerbekezds"/>
              <w:spacing w:line="256" w:lineRule="auto"/>
              <w:ind w:left="748"/>
              <w:jc w:val="both"/>
              <w:rPr>
                <w:rFonts w:ascii="Arial" w:hAnsi="Arial" w:cs="Arial"/>
                <w:sz w:val="22"/>
                <w:szCs w:val="22"/>
                <w:lang w:val="en-GB" w:eastAsia="en-US"/>
              </w:rPr>
            </w:pPr>
          </w:p>
        </w:tc>
      </w:tr>
      <w:tr w:rsidR="00F1383C"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1383C" w:rsidRPr="004B40E4" w:rsidRDefault="00F1383C" w:rsidP="00CD0962">
            <w:pPr>
              <w:spacing w:line="256" w:lineRule="auto"/>
              <w:ind w:right="-108"/>
              <w:rPr>
                <w:rFonts w:ascii="Arial" w:hAnsi="Arial" w:cs="Arial"/>
                <w:b/>
                <w:sz w:val="22"/>
                <w:szCs w:val="22"/>
                <w:lang w:val="en-GB" w:eastAsia="en-US"/>
              </w:rPr>
            </w:pPr>
            <w:r w:rsidRPr="004B40E4">
              <w:rPr>
                <w:rFonts w:ascii="Arial" w:hAnsi="Arial" w:cs="Arial"/>
                <w:b/>
                <w:sz w:val="22"/>
                <w:szCs w:val="22"/>
                <w:lang w:val="en-GB" w:eastAsia="en-US"/>
              </w:rPr>
              <w:t xml:space="preserve">Literature, handbooks </w:t>
            </w:r>
            <w:r w:rsidRPr="004B40E4">
              <w:rPr>
                <w:rFonts w:ascii="Arial" w:hAnsi="Arial" w:cs="Arial"/>
                <w:b/>
                <w:sz w:val="22"/>
                <w:szCs w:val="22"/>
                <w:u w:val="single"/>
                <w:lang w:val="en-GB" w:eastAsia="en-US"/>
              </w:rPr>
              <w:t xml:space="preserve">in English </w:t>
            </w:r>
          </w:p>
        </w:tc>
      </w:tr>
      <w:tr w:rsidR="00F1383C"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F1383C" w:rsidRPr="004B40E4" w:rsidRDefault="00F1383C" w:rsidP="00F1383C">
            <w:pPr>
              <w:widowControl/>
              <w:numPr>
                <w:ilvl w:val="0"/>
                <w:numId w:val="34"/>
              </w:numPr>
              <w:suppressAutoHyphens w:val="0"/>
              <w:autoSpaceDN/>
              <w:spacing w:line="256" w:lineRule="auto"/>
              <w:jc w:val="both"/>
              <w:textAlignment w:val="auto"/>
              <w:rPr>
                <w:rFonts w:ascii="Arial" w:hAnsi="Arial" w:cs="Arial"/>
                <w:sz w:val="22"/>
                <w:szCs w:val="22"/>
                <w:lang w:val="en-GB" w:eastAsia="en-US"/>
              </w:rPr>
            </w:pPr>
            <w:r w:rsidRPr="004B40E4">
              <w:rPr>
                <w:rFonts w:ascii="Arial" w:hAnsi="Arial" w:cs="Arial"/>
                <w:sz w:val="22"/>
                <w:szCs w:val="22"/>
                <w:lang w:val="en-GB" w:eastAsia="en-US"/>
              </w:rPr>
              <w:t>Schiffers, B. (2011): Traceability. COLEACP-PIP programme, training manual 2. 118 p.</w:t>
            </w:r>
          </w:p>
          <w:p w:rsidR="00F1383C" w:rsidRPr="004B40E4" w:rsidRDefault="00F1383C" w:rsidP="00F1383C">
            <w:pPr>
              <w:widowControl/>
              <w:numPr>
                <w:ilvl w:val="0"/>
                <w:numId w:val="34"/>
              </w:numPr>
              <w:suppressAutoHyphens w:val="0"/>
              <w:autoSpaceDN/>
              <w:spacing w:line="256" w:lineRule="auto"/>
              <w:ind w:left="459"/>
              <w:jc w:val="both"/>
              <w:textAlignment w:val="auto"/>
              <w:rPr>
                <w:rFonts w:ascii="Arial" w:hAnsi="Arial" w:cs="Arial"/>
                <w:sz w:val="22"/>
                <w:szCs w:val="22"/>
                <w:lang w:val="en-GB" w:eastAsia="en-US"/>
              </w:rPr>
            </w:pPr>
            <w:r w:rsidRPr="004B40E4">
              <w:rPr>
                <w:rFonts w:ascii="Arial" w:hAnsi="Arial" w:cs="Arial"/>
                <w:sz w:val="22"/>
                <w:szCs w:val="22"/>
                <w:lang w:val="en-GB" w:eastAsia="en-US"/>
              </w:rPr>
              <w:lastRenderedPageBreak/>
              <w:t>Regulation (Ec) No 178/2002 of The European Parliament and of The Council of 28 January 2002 laying down the general principles and requirements of food law, establishing the European Food Safety Authority and laying down procedures in matters of food safety</w:t>
            </w:r>
          </w:p>
          <w:p w:rsidR="00F1383C" w:rsidRPr="004B40E4" w:rsidRDefault="00F1383C" w:rsidP="00F1383C">
            <w:pPr>
              <w:widowControl/>
              <w:numPr>
                <w:ilvl w:val="0"/>
                <w:numId w:val="34"/>
              </w:numPr>
              <w:suppressAutoHyphens w:val="0"/>
              <w:autoSpaceDN/>
              <w:spacing w:line="256" w:lineRule="auto"/>
              <w:ind w:left="459"/>
              <w:jc w:val="both"/>
              <w:textAlignment w:val="auto"/>
              <w:rPr>
                <w:rFonts w:ascii="Arial" w:hAnsi="Arial" w:cs="Arial"/>
                <w:sz w:val="22"/>
                <w:szCs w:val="22"/>
                <w:lang w:val="en-GB" w:eastAsia="en-US"/>
              </w:rPr>
            </w:pPr>
            <w:r w:rsidRPr="004B40E4">
              <w:rPr>
                <w:rFonts w:ascii="Arial" w:hAnsi="Arial" w:cs="Arial"/>
                <w:sz w:val="22"/>
                <w:szCs w:val="22"/>
                <w:lang w:val="en-GB" w:eastAsia="en-US"/>
              </w:rPr>
              <w:t>Commission Implementing Regulation (EU) No 931/2011 of 19 September 2011 on the traceability requirements set by Regulation (EC) No 178/2002 of the European Parliament and of the Council for food of animal origin</w:t>
            </w:r>
          </w:p>
          <w:p w:rsidR="00F1383C" w:rsidRPr="004B40E4" w:rsidRDefault="00F1383C" w:rsidP="00F1383C">
            <w:pPr>
              <w:widowControl/>
              <w:numPr>
                <w:ilvl w:val="0"/>
                <w:numId w:val="34"/>
              </w:numPr>
              <w:suppressAutoHyphens w:val="0"/>
              <w:autoSpaceDN/>
              <w:spacing w:line="256" w:lineRule="auto"/>
              <w:ind w:left="459"/>
              <w:jc w:val="both"/>
              <w:textAlignment w:val="auto"/>
              <w:rPr>
                <w:rFonts w:ascii="Arial" w:hAnsi="Arial" w:cs="Arial"/>
                <w:sz w:val="22"/>
                <w:szCs w:val="22"/>
                <w:lang w:val="en-GB" w:eastAsia="en-US"/>
              </w:rPr>
            </w:pPr>
            <w:r w:rsidRPr="004B40E4">
              <w:rPr>
                <w:rFonts w:ascii="Arial" w:hAnsi="Arial" w:cs="Arial"/>
                <w:sz w:val="22"/>
                <w:szCs w:val="22"/>
                <w:lang w:val="en-GB" w:eastAsia="en-US"/>
              </w:rPr>
              <w:t>ISO 22005:2007. Traceability in the feed and food chain. General principles and basic requirements for system design and implementation.</w:t>
            </w:r>
          </w:p>
        </w:tc>
      </w:tr>
      <w:tr w:rsidR="00F1383C"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1383C" w:rsidRPr="004B40E4" w:rsidRDefault="00F1383C" w:rsidP="00CD0962">
            <w:pPr>
              <w:spacing w:line="256" w:lineRule="auto"/>
              <w:jc w:val="both"/>
              <w:rPr>
                <w:rFonts w:ascii="Arial" w:hAnsi="Arial" w:cs="Arial"/>
                <w:b/>
                <w:color w:val="FF0000"/>
                <w:sz w:val="22"/>
                <w:szCs w:val="22"/>
                <w:lang w:val="en-GB" w:eastAsia="en-US"/>
              </w:rPr>
            </w:pPr>
            <w:r w:rsidRPr="004B40E4">
              <w:rPr>
                <w:rFonts w:ascii="Arial" w:hAnsi="Arial" w:cs="Arial"/>
                <w:b/>
                <w:sz w:val="22"/>
                <w:szCs w:val="22"/>
                <w:lang w:val="en-GB" w:eastAsia="en-US"/>
              </w:rPr>
              <w:lastRenderedPageBreak/>
              <w:t xml:space="preserve">Competencies gained </w:t>
            </w:r>
            <w:r w:rsidRPr="004B40E4">
              <w:rPr>
                <w:rFonts w:ascii="Arial" w:hAnsi="Arial" w:cs="Arial"/>
                <w:i/>
                <w:sz w:val="22"/>
                <w:szCs w:val="22"/>
                <w:lang w:val="en-GB" w:eastAsia="en-US"/>
              </w:rPr>
              <w:t xml:space="preserve">(acc. to the Regulation on training and outcome </w:t>
            </w:r>
            <w:r w:rsidRPr="004B40E4">
              <w:rPr>
                <w:rFonts w:ascii="Arial" w:hAnsi="Arial" w:cs="Arial"/>
                <w:i/>
                <w:iCs/>
                <w:sz w:val="22"/>
                <w:szCs w:val="22"/>
                <w:lang w:val="en-GB" w:eastAsia="en-US"/>
              </w:rPr>
              <w:t>requirements)</w:t>
            </w:r>
          </w:p>
        </w:tc>
      </w:tr>
      <w:tr w:rsidR="00F1383C"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1383C" w:rsidRPr="004B40E4" w:rsidRDefault="00F1383C" w:rsidP="00F1383C">
            <w:pPr>
              <w:widowControl/>
              <w:numPr>
                <w:ilvl w:val="0"/>
                <w:numId w:val="35"/>
              </w:numPr>
              <w:tabs>
                <w:tab w:val="left" w:pos="317"/>
              </w:tabs>
              <w:autoSpaceDN/>
              <w:spacing w:line="256" w:lineRule="auto"/>
              <w:textAlignment w:val="auto"/>
              <w:rPr>
                <w:rFonts w:ascii="Arial" w:hAnsi="Arial" w:cs="Arial"/>
                <w:b/>
                <w:sz w:val="22"/>
                <w:szCs w:val="22"/>
                <w:lang w:val="en-GB" w:eastAsia="en-US"/>
              </w:rPr>
            </w:pPr>
            <w:r w:rsidRPr="004B40E4">
              <w:rPr>
                <w:rFonts w:ascii="Arial" w:hAnsi="Arial" w:cs="Arial"/>
                <w:b/>
                <w:sz w:val="22"/>
                <w:szCs w:val="22"/>
                <w:lang w:val="en-GB" w:eastAsia="en-US"/>
              </w:rPr>
              <w:t>Knowledge:</w:t>
            </w:r>
          </w:p>
          <w:p w:rsidR="00F1383C" w:rsidRPr="004B40E4" w:rsidRDefault="00F1383C" w:rsidP="00F1383C">
            <w:pPr>
              <w:pStyle w:val="Listaszerbekezds"/>
              <w:numPr>
                <w:ilvl w:val="0"/>
                <w:numId w:val="2"/>
              </w:numPr>
              <w:tabs>
                <w:tab w:val="left" w:pos="317"/>
              </w:tabs>
              <w:suppressAutoHyphens/>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Familiar with the complexities of food safety and traceability and their legal regulatory background.</w:t>
            </w:r>
          </w:p>
          <w:p w:rsidR="00F1383C" w:rsidRPr="004B40E4" w:rsidRDefault="00F1383C" w:rsidP="00F1383C">
            <w:pPr>
              <w:widowControl/>
              <w:numPr>
                <w:ilvl w:val="0"/>
                <w:numId w:val="35"/>
              </w:numPr>
              <w:tabs>
                <w:tab w:val="left" w:pos="317"/>
              </w:tabs>
              <w:autoSpaceDN/>
              <w:spacing w:line="256" w:lineRule="auto"/>
              <w:ind w:left="176" w:hanging="142"/>
              <w:jc w:val="both"/>
              <w:textAlignment w:val="auto"/>
              <w:rPr>
                <w:rFonts w:ascii="Arial" w:hAnsi="Arial" w:cs="Arial"/>
                <w:b/>
                <w:sz w:val="22"/>
                <w:szCs w:val="22"/>
                <w:lang w:val="en-GB" w:eastAsia="en-US"/>
              </w:rPr>
            </w:pPr>
            <w:r w:rsidRPr="004B40E4">
              <w:rPr>
                <w:rFonts w:ascii="Arial" w:hAnsi="Arial" w:cs="Arial"/>
                <w:b/>
                <w:sz w:val="22"/>
                <w:szCs w:val="22"/>
                <w:lang w:val="en-GB" w:eastAsia="en-US"/>
              </w:rPr>
              <w:t>Skills:</w:t>
            </w:r>
          </w:p>
          <w:p w:rsidR="00F1383C" w:rsidRPr="004B40E4" w:rsidRDefault="00F1383C" w:rsidP="00F1383C">
            <w:pPr>
              <w:pStyle w:val="Listaszerbekezds"/>
              <w:numPr>
                <w:ilvl w:val="0"/>
                <w:numId w:val="2"/>
              </w:numPr>
              <w:tabs>
                <w:tab w:val="left" w:pos="317"/>
              </w:tabs>
              <w:suppressAutoHyphens/>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Able to implement, coordinate and operate traceability systems. </w:t>
            </w:r>
          </w:p>
          <w:p w:rsidR="00F1383C" w:rsidRPr="004B40E4" w:rsidRDefault="00F1383C" w:rsidP="00F1383C">
            <w:pPr>
              <w:widowControl/>
              <w:numPr>
                <w:ilvl w:val="0"/>
                <w:numId w:val="35"/>
              </w:numPr>
              <w:tabs>
                <w:tab w:val="left" w:pos="317"/>
              </w:tabs>
              <w:autoSpaceDN/>
              <w:spacing w:line="256" w:lineRule="auto"/>
              <w:ind w:left="176" w:hanging="142"/>
              <w:jc w:val="both"/>
              <w:textAlignment w:val="auto"/>
              <w:rPr>
                <w:rFonts w:ascii="Arial" w:hAnsi="Arial" w:cs="Arial"/>
                <w:b/>
                <w:sz w:val="22"/>
                <w:szCs w:val="22"/>
                <w:lang w:val="en-GB" w:eastAsia="en-US"/>
              </w:rPr>
            </w:pPr>
            <w:r w:rsidRPr="004B40E4">
              <w:rPr>
                <w:rFonts w:ascii="Arial" w:hAnsi="Arial" w:cs="Arial"/>
                <w:b/>
                <w:sz w:val="22"/>
                <w:szCs w:val="22"/>
                <w:lang w:val="en-GB" w:eastAsia="en-US"/>
              </w:rPr>
              <w:t>Attitude:</w:t>
            </w:r>
          </w:p>
          <w:p w:rsidR="00F1383C" w:rsidRPr="004B40E4" w:rsidRDefault="00F1383C" w:rsidP="00F1383C">
            <w:pPr>
              <w:pStyle w:val="Listaszerbekezds"/>
              <w:numPr>
                <w:ilvl w:val="0"/>
                <w:numId w:val="2"/>
              </w:numPr>
              <w:tabs>
                <w:tab w:val="left" w:pos="317"/>
              </w:tabs>
              <w:suppressAutoHyphens/>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Open, motivated and responsive to get to know and apply modern and innovative traceability procedures.</w:t>
            </w:r>
          </w:p>
          <w:p w:rsidR="00F1383C" w:rsidRPr="004B40E4" w:rsidRDefault="00F1383C" w:rsidP="00F1383C">
            <w:pPr>
              <w:widowControl/>
              <w:numPr>
                <w:ilvl w:val="0"/>
                <w:numId w:val="35"/>
              </w:numPr>
              <w:tabs>
                <w:tab w:val="left" w:pos="317"/>
              </w:tabs>
              <w:autoSpaceDN/>
              <w:spacing w:line="256" w:lineRule="auto"/>
              <w:ind w:left="176" w:hanging="142"/>
              <w:jc w:val="both"/>
              <w:textAlignment w:val="auto"/>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F1383C" w:rsidRPr="004B40E4" w:rsidRDefault="00F1383C" w:rsidP="00F1383C">
            <w:pPr>
              <w:pStyle w:val="Listaszerbekezds"/>
              <w:numPr>
                <w:ilvl w:val="0"/>
                <w:numId w:val="2"/>
              </w:numPr>
              <w:tabs>
                <w:tab w:val="left" w:pos="317"/>
              </w:tabs>
              <w:suppressAutoHyphens/>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Has responsibility towards the safety of food products that were produced with his/her </w:t>
            </w:r>
            <w:proofErr w:type="gramStart"/>
            <w:r w:rsidRPr="004B40E4">
              <w:rPr>
                <w:rFonts w:ascii="Arial" w:hAnsi="Arial" w:cs="Arial"/>
                <w:sz w:val="22"/>
                <w:szCs w:val="22"/>
                <w:lang w:val="en-GB" w:eastAsia="en-US"/>
              </w:rPr>
              <w:t>contribution.</w:t>
            </w:r>
            <w:proofErr w:type="gramEnd"/>
          </w:p>
        </w:tc>
      </w:tr>
    </w:tbl>
    <w:p w:rsidR="00F1383C" w:rsidRPr="004B40E4" w:rsidRDefault="00F1383C" w:rsidP="00F1383C">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1383C"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Responsible lecturer: Ferenc Peles, PhD</w:t>
            </w:r>
          </w:p>
        </w:tc>
      </w:tr>
      <w:tr w:rsidR="00F1383C"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Other lecturer(s): -</w:t>
            </w:r>
          </w:p>
        </w:tc>
      </w:tr>
    </w:tbl>
    <w:p w:rsidR="00F1383C" w:rsidRPr="004B40E4" w:rsidRDefault="00F1383C" w:rsidP="00F1383C">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1383C"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Terms of course completion:</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Participating </w:t>
            </w:r>
            <w:r>
              <w:rPr>
                <w:rFonts w:ascii="Arial" w:hAnsi="Arial" w:cs="Arial"/>
                <w:sz w:val="22"/>
                <w:szCs w:val="22"/>
                <w:lang w:val="en-GB" w:eastAsia="en-US"/>
              </w:rPr>
              <w:t>i</w:t>
            </w:r>
            <w:r w:rsidRPr="004B40E4">
              <w:rPr>
                <w:rFonts w:ascii="Arial" w:hAnsi="Arial" w:cs="Arial"/>
                <w:sz w:val="22"/>
                <w:szCs w:val="22"/>
                <w:lang w:val="en-GB" w:eastAsia="en-US"/>
              </w:rPr>
              <w:t>n the exercises</w:t>
            </w:r>
          </w:p>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Completing practical exercises</w:t>
            </w:r>
          </w:p>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Submitting practical essays</w:t>
            </w:r>
          </w:p>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Giving presentation</w:t>
            </w:r>
          </w:p>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Three mid-year written exams </w:t>
            </w:r>
          </w:p>
          <w:p w:rsidR="00F1383C" w:rsidRPr="004B40E4" w:rsidRDefault="00F1383C" w:rsidP="00F1383C">
            <w:pPr>
              <w:pStyle w:val="Listaszerbekezds"/>
              <w:numPr>
                <w:ilvl w:val="0"/>
                <w:numId w:val="36"/>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Written exam (if the result of the mid-year written exams is less than 60%)</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The course ends in a mid-semester grade based on the result of the mid-year written exams. The minimum requirement for both mid-term and end-term written exams is 60%.</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Result and grade:</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 xml:space="preserve">0-59%: fail (1) </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60-69%: pass (2)</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70-79%: satisfactory (3)</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80-89%: good (4)</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90-100%: excellent (5)</w:t>
            </w:r>
          </w:p>
          <w:p w:rsidR="00F1383C" w:rsidRPr="004B40E4" w:rsidRDefault="00F1383C" w:rsidP="00CD0962">
            <w:pPr>
              <w:spacing w:line="256" w:lineRule="auto"/>
              <w:rPr>
                <w:rFonts w:ascii="Arial" w:hAnsi="Arial" w:cs="Arial"/>
                <w:sz w:val="22"/>
                <w:szCs w:val="22"/>
                <w:lang w:val="en-GB" w:eastAsia="en-US"/>
              </w:rPr>
            </w:pPr>
            <w:r w:rsidRPr="004B40E4">
              <w:rPr>
                <w:rFonts w:ascii="Arial" w:hAnsi="Arial" w:cs="Arial"/>
                <w:sz w:val="22"/>
                <w:szCs w:val="22"/>
                <w:lang w:val="en-GB" w:eastAsia="en-US"/>
              </w:rPr>
              <w:t>If the result of the written exams is below 60%, it is necessary to rewrite that.</w:t>
            </w:r>
          </w:p>
          <w:p w:rsidR="00F1383C" w:rsidRPr="004B40E4" w:rsidRDefault="00F1383C" w:rsidP="00CD0962">
            <w:pPr>
              <w:spacing w:line="256" w:lineRule="auto"/>
              <w:rPr>
                <w:rFonts w:ascii="Arial" w:hAnsi="Arial" w:cs="Arial"/>
                <w:sz w:val="22"/>
                <w:szCs w:val="22"/>
                <w:lang w:val="en-GB" w:eastAsia="en-US"/>
              </w:rPr>
            </w:pPr>
          </w:p>
        </w:tc>
      </w:tr>
      <w:tr w:rsidR="00F1383C"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Form of examination:</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1383C" w:rsidRPr="004B40E4" w:rsidRDefault="00F1383C" w:rsidP="00CD0962">
            <w:pPr>
              <w:spacing w:line="256" w:lineRule="auto"/>
              <w:ind w:left="34"/>
              <w:rPr>
                <w:rFonts w:ascii="Arial" w:hAnsi="Arial" w:cs="Arial"/>
                <w:sz w:val="22"/>
                <w:szCs w:val="22"/>
                <w:lang w:val="en-GB" w:eastAsia="en-US"/>
              </w:rPr>
            </w:pPr>
            <w:r w:rsidRPr="004B40E4">
              <w:rPr>
                <w:rFonts w:ascii="Arial" w:hAnsi="Arial" w:cs="Arial"/>
                <w:sz w:val="22"/>
                <w:szCs w:val="22"/>
                <w:lang w:val="en-GB" w:eastAsia="en-US"/>
              </w:rPr>
              <w:t>Written form</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i/>
                <w:sz w:val="22"/>
                <w:szCs w:val="22"/>
                <w:lang w:val="en-GB" w:eastAsia="en-US"/>
              </w:rPr>
            </w:pPr>
            <w:r w:rsidRPr="004B40E4">
              <w:rPr>
                <w:rFonts w:ascii="Arial" w:hAnsi="Arial" w:cs="Arial"/>
                <w:b/>
                <w:sz w:val="22"/>
                <w:szCs w:val="22"/>
                <w:lang w:val="en-GB" w:eastAsia="en-US"/>
              </w:rPr>
              <w:lastRenderedPageBreak/>
              <w:t>Requirement(s) to get signature:</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1383C" w:rsidRPr="004B40E4" w:rsidRDefault="00F1383C" w:rsidP="00F1383C">
            <w:pPr>
              <w:pStyle w:val="Listaszerbekezds"/>
              <w:numPr>
                <w:ilvl w:val="0"/>
                <w:numId w:val="38"/>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Participating </w:t>
            </w:r>
            <w:r>
              <w:rPr>
                <w:rFonts w:ascii="Arial" w:hAnsi="Arial" w:cs="Arial"/>
                <w:sz w:val="22"/>
                <w:szCs w:val="22"/>
                <w:lang w:val="en-GB" w:eastAsia="en-US"/>
              </w:rPr>
              <w:t>i</w:t>
            </w:r>
            <w:r w:rsidRPr="004B40E4">
              <w:rPr>
                <w:rFonts w:ascii="Arial" w:hAnsi="Arial" w:cs="Arial"/>
                <w:sz w:val="22"/>
                <w:szCs w:val="22"/>
                <w:lang w:val="en-GB" w:eastAsia="en-US"/>
              </w:rPr>
              <w:t>n the exercises</w:t>
            </w:r>
          </w:p>
          <w:p w:rsidR="00F1383C" w:rsidRPr="004B40E4" w:rsidRDefault="00F1383C" w:rsidP="00F1383C">
            <w:pPr>
              <w:pStyle w:val="Listaszerbekezds"/>
              <w:numPr>
                <w:ilvl w:val="0"/>
                <w:numId w:val="38"/>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Completing practical exercises</w:t>
            </w:r>
          </w:p>
          <w:p w:rsidR="00F1383C" w:rsidRPr="004B40E4" w:rsidRDefault="00F1383C" w:rsidP="00F1383C">
            <w:pPr>
              <w:pStyle w:val="Listaszerbekezds"/>
              <w:numPr>
                <w:ilvl w:val="0"/>
                <w:numId w:val="38"/>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Submitting practical essays</w:t>
            </w:r>
          </w:p>
          <w:p w:rsidR="00F1383C" w:rsidRPr="004B40E4" w:rsidRDefault="00F1383C" w:rsidP="00F1383C">
            <w:pPr>
              <w:pStyle w:val="Listaszerbekezds"/>
              <w:numPr>
                <w:ilvl w:val="0"/>
                <w:numId w:val="38"/>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Giving presentation</w:t>
            </w:r>
          </w:p>
        </w:tc>
      </w:tr>
    </w:tbl>
    <w:p w:rsidR="00F1383C" w:rsidRPr="004B40E4" w:rsidRDefault="00F1383C" w:rsidP="00F1383C">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1383C"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1383C" w:rsidRPr="004B40E4" w:rsidRDefault="00F1383C"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Exam questions:</w:t>
            </w:r>
          </w:p>
        </w:tc>
      </w:tr>
      <w:tr w:rsidR="00F1383C"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Definitions, principles and objectives of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Design of traceability system (ISO 22005:2007) </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Implementation of traceability system (ISO 22005:2007)</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Importance of the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Advantages of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Purposes and benefits of the traceability and identification</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Essential elements of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Problems, obstacles and limits of traceability and identifications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Traceability requirements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Factors affecting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Consideration for effective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Information requirement</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Main driving forces for food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Types of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4 principles of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Standards related to food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Regulations related to food traceability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Regulation (EC) No 1830/2003 – concerning the traceability and labelling of genetically modified organisms and the traceability of food and feed products produced from genetically modified organisms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Commission Implementing Regulation (EU) No 208/2013 – on traceability requirements for sprouts and seeds intended for the production of sprouts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Regulation (EC) No 1169/2011 of the European Parliament and of the Council – on the provision of food information to consumers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Regulation (EC) No 178/2002. Article 14, 15, 17.</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Regulation (EC) No 178/2002. Article 18, 19, 20.</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Commission Implementing Regulation (EU) No 931/2011 on the traceability requirements set by Regulation (EC) No 178/2002 of the European Parliament and of the Council for food of animal origin</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Characterization and history of GS1 (earlier EAN-UCC System) organization and system</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bCs/>
                <w:sz w:val="22"/>
                <w:szCs w:val="22"/>
                <w:lang w:val="en-US" w:eastAsia="en-US"/>
              </w:rPr>
              <w:t>What is the GS1 Traceability Standard?</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What is the value</w:t>
            </w:r>
            <w:r w:rsidRPr="004B40E4">
              <w:rPr>
                <w:rFonts w:ascii="Arial" w:hAnsi="Arial" w:cs="Arial"/>
                <w:sz w:val="22"/>
                <w:szCs w:val="22"/>
                <w:lang w:eastAsia="en-US"/>
              </w:rPr>
              <w:t xml:space="preserve"> and </w:t>
            </w:r>
            <w:r w:rsidRPr="004B40E4">
              <w:rPr>
                <w:rFonts w:ascii="Arial" w:hAnsi="Arial" w:cs="Arial"/>
                <w:sz w:val="22"/>
                <w:szCs w:val="22"/>
                <w:lang w:val="en-US" w:eastAsia="en-US"/>
              </w:rPr>
              <w:t xml:space="preserve">benefits of the GS1 Traceability Standard? </w:t>
            </w:r>
            <w:r w:rsidRPr="004B40E4">
              <w:rPr>
                <w:rFonts w:ascii="Arial" w:hAnsi="Arial" w:cs="Arial"/>
                <w:bCs/>
                <w:sz w:val="22"/>
                <w:szCs w:val="22"/>
                <w:lang w:val="en-US" w:eastAsia="en-US"/>
              </w:rPr>
              <w:t>What is the benefit for the consumers?</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GS1 System of Standards</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bCs/>
                <w:sz w:val="22"/>
                <w:szCs w:val="22"/>
                <w:lang w:val="en-US" w:eastAsia="en-US"/>
              </w:rPr>
              <w:t>Fundamentals / core components of traceability</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Data identification. GS1 identification keys</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Traceability Data Management in production and in distribution</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GB" w:eastAsia="en-US"/>
              </w:rPr>
            </w:pPr>
            <w:r w:rsidRPr="004B40E4">
              <w:rPr>
                <w:rFonts w:ascii="Arial" w:hAnsi="Arial" w:cs="Arial"/>
                <w:sz w:val="22"/>
                <w:szCs w:val="22"/>
                <w:lang w:val="en-US" w:eastAsia="en-US"/>
              </w:rPr>
              <w:t xml:space="preserve">Data capture and management. </w:t>
            </w:r>
            <w:r w:rsidRPr="004B40E4">
              <w:rPr>
                <w:rFonts w:ascii="Arial" w:hAnsi="Arial" w:cs="Arial"/>
                <w:sz w:val="22"/>
                <w:szCs w:val="22"/>
                <w:lang w:eastAsia="en-US"/>
              </w:rPr>
              <w:t xml:space="preserve">GS1 Data </w:t>
            </w:r>
            <w:r w:rsidRPr="004B40E4">
              <w:rPr>
                <w:rFonts w:ascii="Arial" w:hAnsi="Arial" w:cs="Arial"/>
                <w:sz w:val="22"/>
                <w:szCs w:val="22"/>
                <w:lang w:val="en-US" w:eastAsia="en-US"/>
              </w:rPr>
              <w:t xml:space="preserve">Carriers. GS1-128. </w:t>
            </w:r>
            <w:r w:rsidRPr="004B40E4">
              <w:rPr>
                <w:rFonts w:ascii="Arial" w:hAnsi="Arial" w:cs="Arial"/>
                <w:sz w:val="22"/>
                <w:szCs w:val="22"/>
                <w:lang w:val="en-GB" w:eastAsia="en-US"/>
              </w:rPr>
              <w:t>GS1 Application Identifier</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GB" w:eastAsia="en-US"/>
              </w:rPr>
            </w:pPr>
            <w:r w:rsidRPr="004B40E4">
              <w:rPr>
                <w:rFonts w:ascii="Arial" w:hAnsi="Arial" w:cs="Arial"/>
                <w:sz w:val="22"/>
                <w:szCs w:val="22"/>
                <w:lang w:val="en-US" w:eastAsia="en-US"/>
              </w:rPr>
              <w:t xml:space="preserve">Product hierarchy. Supply Chain Coordination. Batch </w:t>
            </w:r>
            <w:r w:rsidRPr="004B40E4">
              <w:rPr>
                <w:rFonts w:ascii="Arial" w:hAnsi="Arial" w:cs="Arial"/>
                <w:sz w:val="22"/>
                <w:szCs w:val="22"/>
                <w:lang w:eastAsia="en-US"/>
              </w:rPr>
              <w:t>/</w:t>
            </w:r>
            <w:r w:rsidRPr="004B40E4">
              <w:rPr>
                <w:rFonts w:ascii="Arial" w:hAnsi="Arial" w:cs="Arial"/>
                <w:sz w:val="22"/>
                <w:szCs w:val="22"/>
                <w:lang w:val="en-US" w:eastAsia="en-US"/>
              </w:rPr>
              <w:t xml:space="preserve"> lot number</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GB" w:eastAsia="en-US"/>
              </w:rPr>
            </w:pPr>
            <w:r w:rsidRPr="004B40E4">
              <w:rPr>
                <w:rFonts w:ascii="Arial" w:hAnsi="Arial" w:cs="Arial"/>
                <w:sz w:val="22"/>
                <w:szCs w:val="22"/>
                <w:lang w:val="en-US" w:eastAsia="en-US"/>
              </w:rPr>
              <w:t>Traceability data within an organization. Traceability data across supply chains</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GB" w:eastAsia="en-US"/>
              </w:rPr>
            </w:pPr>
            <w:r w:rsidRPr="004B40E4">
              <w:rPr>
                <w:rFonts w:ascii="Arial" w:hAnsi="Arial" w:cs="Arial"/>
                <w:sz w:val="22"/>
                <w:szCs w:val="22"/>
                <w:lang w:val="en-GB" w:eastAsia="en-US"/>
              </w:rPr>
              <w:lastRenderedPageBreak/>
              <w:t>Sources of traceability data + Example of internal and external data</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GB" w:eastAsia="en-US"/>
              </w:rPr>
            </w:pPr>
            <w:r w:rsidRPr="004B40E4">
              <w:rPr>
                <w:rFonts w:ascii="Arial" w:hAnsi="Arial" w:cs="Arial"/>
                <w:bCs/>
                <w:sz w:val="22"/>
                <w:szCs w:val="22"/>
                <w:lang w:eastAsia="en-US"/>
              </w:rPr>
              <w:t xml:space="preserve">GS1 </w:t>
            </w:r>
            <w:r w:rsidRPr="004B40E4">
              <w:rPr>
                <w:rFonts w:ascii="Arial" w:hAnsi="Arial" w:cs="Arial"/>
                <w:bCs/>
                <w:sz w:val="22"/>
                <w:szCs w:val="22"/>
                <w:lang w:val="en-US" w:eastAsia="en-US"/>
              </w:rPr>
              <w:t>Communication Standards + short characterization of them</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GB" w:eastAsia="en-US"/>
              </w:rPr>
              <w:t xml:space="preserve">Characterization of RFID and RFID-EPC. Main parts of the </w:t>
            </w:r>
            <w:r w:rsidRPr="004B40E4">
              <w:rPr>
                <w:rFonts w:ascii="Arial" w:hAnsi="Arial" w:cs="Arial"/>
                <w:sz w:val="22"/>
                <w:szCs w:val="22"/>
                <w:lang w:val="en-US" w:eastAsia="en-US"/>
              </w:rPr>
              <w:t>RFID identifier and RFID system</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sz w:val="22"/>
                <w:szCs w:val="22"/>
                <w:lang w:val="en-US" w:eastAsia="en-US"/>
              </w:rPr>
              <w:t>Characterization of the EPC and EPC/RFID tags</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sz w:val="22"/>
                <w:szCs w:val="22"/>
                <w:lang w:val="en-US" w:eastAsia="en-US"/>
              </w:rPr>
            </w:pPr>
            <w:r w:rsidRPr="004B40E4">
              <w:rPr>
                <w:rFonts w:ascii="Arial" w:hAnsi="Arial" w:cs="Arial"/>
                <w:bCs/>
                <w:sz w:val="22"/>
                <w:szCs w:val="22"/>
                <w:lang w:val="en-US" w:eastAsia="en-US"/>
              </w:rPr>
              <w:t xml:space="preserve">Types and characterization of RFID systems based on their energy supply </w:t>
            </w:r>
          </w:p>
          <w:p w:rsidR="00F1383C" w:rsidRPr="004B40E4" w:rsidRDefault="00F1383C" w:rsidP="00F1383C">
            <w:pPr>
              <w:widowControl/>
              <w:numPr>
                <w:ilvl w:val="0"/>
                <w:numId w:val="37"/>
              </w:numPr>
              <w:suppressAutoHyphens w:val="0"/>
              <w:autoSpaceDN/>
              <w:spacing w:line="256" w:lineRule="auto"/>
              <w:textAlignment w:val="auto"/>
              <w:rPr>
                <w:rFonts w:ascii="Arial" w:hAnsi="Arial" w:cs="Arial"/>
                <w:bCs/>
                <w:sz w:val="22"/>
                <w:szCs w:val="22"/>
                <w:lang w:val="en-GB" w:eastAsia="en-US"/>
              </w:rPr>
            </w:pPr>
            <w:r w:rsidRPr="004B40E4">
              <w:rPr>
                <w:rFonts w:ascii="Arial" w:hAnsi="Arial" w:cs="Arial"/>
                <w:bCs/>
                <w:sz w:val="22"/>
                <w:szCs w:val="22"/>
                <w:lang w:val="en-US" w:eastAsia="en-US"/>
              </w:rPr>
              <w:t>Types and characterization of RFID systems based on their f</w:t>
            </w:r>
            <w:r w:rsidRPr="004B40E4">
              <w:rPr>
                <w:rFonts w:ascii="Arial" w:hAnsi="Arial" w:cs="Arial"/>
                <w:sz w:val="22"/>
                <w:szCs w:val="22"/>
                <w:lang w:val="en-US" w:eastAsia="en-US"/>
              </w:rPr>
              <w:t>requency</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Types and main characteristics of barcodes. Types of barcodes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Linear bar code symbols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GS1 DataBar. GS1 DataMatrix. QR code. MaxiCode. Composite Barcode. Bokode</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Types and characterization of identification. Main types of identification</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Requirements and possibilities of animal identification. Identification of animals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Biometric methods of animal identification. Examples of biometric identification methods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DNA based unique identification of animals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Traceability of food products of animal origin</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Title and main content of the 1760/2000 EC regulation</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Identification and registration of bovine animals (1760/2000 EC regulation, tiltle I)</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Labelling of beef and beef products (1760/2000 EC regulation, tiltle II). Compulsory Community beef labelling system (1760/2000 EC regulation, section I)</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National Animal Identification System</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Main characteristics and legal basis of Rapid Alert System for Food and Feed (RASFF)</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How does RASFF work? Types of RASFF notifications</w:t>
            </w:r>
          </w:p>
          <w:p w:rsidR="00F1383C" w:rsidRPr="004B40E4" w:rsidRDefault="00F1383C" w:rsidP="00F1383C">
            <w:pPr>
              <w:pStyle w:val="Listaszerbekezds"/>
              <w:numPr>
                <w:ilvl w:val="0"/>
                <w:numId w:val="37"/>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Product recall</w:t>
            </w:r>
          </w:p>
        </w:tc>
      </w:tr>
    </w:tbl>
    <w:p w:rsidR="00F42A96" w:rsidRPr="00F1383C" w:rsidRDefault="00F42A96" w:rsidP="00F1383C"/>
    <w:sectPr w:rsidR="00F42A96" w:rsidRPr="00F13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5D442A2"/>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C1447"/>
    <w:multiLevelType w:val="hybridMultilevel"/>
    <w:tmpl w:val="FE080D7C"/>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D452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355655"/>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9" w15:restartNumberingAfterBreak="0">
    <w:nsid w:val="17BE04EC"/>
    <w:multiLevelType w:val="hybridMultilevel"/>
    <w:tmpl w:val="E31421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AC2840"/>
    <w:multiLevelType w:val="hybridMultilevel"/>
    <w:tmpl w:val="F4E69FA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2416116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284B7D8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309D45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11D659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3723368"/>
    <w:multiLevelType w:val="hybridMultilevel"/>
    <w:tmpl w:val="1F04329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46352884"/>
    <w:multiLevelType w:val="hybridMultilevel"/>
    <w:tmpl w:val="2B12DEB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BB17CA"/>
    <w:multiLevelType w:val="hybridMultilevel"/>
    <w:tmpl w:val="AED49702"/>
    <w:lvl w:ilvl="0" w:tplc="B4AE20F2">
      <w:start w:val="1"/>
      <w:numFmt w:val="decimal"/>
      <w:lvlText w:val="%1."/>
      <w:lvlJc w:val="left"/>
      <w:pPr>
        <w:ind w:left="67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3" w15:restartNumberingAfterBreak="0">
    <w:nsid w:val="51BE28D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55D051A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86C6EDD"/>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7" w15:restartNumberingAfterBreak="0">
    <w:nsid w:val="5BAF048D"/>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5F40019"/>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B73AA6"/>
    <w:multiLevelType w:val="hybridMultilevel"/>
    <w:tmpl w:val="9FC4A81A"/>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5"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37"/>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20"/>
  </w:num>
  <w:num w:numId="6">
    <w:abstractNumId w:val="13"/>
  </w:num>
  <w:num w:numId="7">
    <w:abstractNumId w:val="32"/>
  </w:num>
  <w:num w:numId="8">
    <w:abstractNumId w:val="25"/>
  </w:num>
  <w:num w:numId="9">
    <w:abstractNumId w:val="34"/>
  </w:num>
  <w:num w:numId="10">
    <w:abstractNumId w:val="17"/>
  </w:num>
  <w:num w:numId="11">
    <w:abstractNumId w:val="22"/>
  </w:num>
  <w:num w:numId="12">
    <w:abstractNumId w:val="7"/>
  </w:num>
  <w:num w:numId="13">
    <w:abstractNumId w:val="21"/>
  </w:num>
  <w:num w:numId="14">
    <w:abstractNumId w:val="14"/>
  </w:num>
  <w:num w:numId="15">
    <w:abstractNumId w:val="28"/>
  </w:num>
  <w:num w:numId="16">
    <w:abstractNumId w:val="12"/>
  </w:num>
  <w:num w:numId="17">
    <w:abstractNumId w:val="5"/>
  </w:num>
  <w:num w:numId="18">
    <w:abstractNumId w:val="16"/>
  </w:num>
  <w:num w:numId="19">
    <w:abstractNumId w:val="18"/>
  </w:num>
  <w:num w:numId="20">
    <w:abstractNumId w:val="11"/>
  </w:num>
  <w:num w:numId="21">
    <w:abstractNumId w:val="9"/>
  </w:num>
  <w:num w:numId="22">
    <w:abstractNumId w:val="4"/>
  </w:num>
  <w:num w:numId="23">
    <w:abstractNumId w:val="29"/>
  </w:num>
  <w:num w:numId="24">
    <w:abstractNumId w:val="3"/>
  </w:num>
  <w:num w:numId="25">
    <w:abstractNumId w:val="27"/>
  </w:num>
  <w:num w:numId="26">
    <w:abstractNumId w:val="19"/>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35"/>
  </w:num>
  <w:num w:numId="34">
    <w:abstractNumId w:val="23"/>
  </w:num>
  <w:num w:numId="35">
    <w:abstractNumId w:val="10"/>
  </w:num>
  <w:num w:numId="36">
    <w:abstractNumId w:val="24"/>
  </w:num>
  <w:num w:numId="37">
    <w:abstractNumId w:val="6"/>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1B2A44"/>
    <w:rsid w:val="002721C8"/>
    <w:rsid w:val="002A6EC0"/>
    <w:rsid w:val="00331602"/>
    <w:rsid w:val="003F06BC"/>
    <w:rsid w:val="00492D51"/>
    <w:rsid w:val="004B2365"/>
    <w:rsid w:val="004C5D3E"/>
    <w:rsid w:val="005D5B8C"/>
    <w:rsid w:val="00646768"/>
    <w:rsid w:val="006568C3"/>
    <w:rsid w:val="006F45EC"/>
    <w:rsid w:val="00772FB0"/>
    <w:rsid w:val="007B0C37"/>
    <w:rsid w:val="007E1FED"/>
    <w:rsid w:val="00800AF8"/>
    <w:rsid w:val="00830832"/>
    <w:rsid w:val="008C72AA"/>
    <w:rsid w:val="00917EE8"/>
    <w:rsid w:val="009865FB"/>
    <w:rsid w:val="00A051EE"/>
    <w:rsid w:val="00B01DA3"/>
    <w:rsid w:val="00B944F7"/>
    <w:rsid w:val="00C72AF7"/>
    <w:rsid w:val="00D21D96"/>
    <w:rsid w:val="00D344CA"/>
    <w:rsid w:val="00D77BED"/>
    <w:rsid w:val="00D919D0"/>
    <w:rsid w:val="00DC6898"/>
    <w:rsid w:val="00E85BE8"/>
    <w:rsid w:val="00EC20C1"/>
    <w:rsid w:val="00F1383C"/>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6378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2019-08-28T12:48:00Z</dcterms:created>
  <dcterms:modified xsi:type="dcterms:W3CDTF">2019-08-28T12:48:00Z</dcterms:modified>
</cp:coreProperties>
</file>