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694"/>
      </w:tblGrid>
      <w:tr w:rsidR="009865FB" w:rsidRPr="004B40E4" w:rsidTr="00CD0962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br w:type="page"/>
            </w:r>
            <w:r w:rsidRPr="004B40E4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Title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technology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MTMEL7030A</w:t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ECTS Credit Points: 3</w:t>
            </w:r>
          </w:p>
        </w:tc>
      </w:tr>
      <w:tr w:rsidR="009865FB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compulsory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optional</w:t>
            </w:r>
            <w:proofErr w:type="spellEnd"/>
          </w:p>
        </w:tc>
      </w:tr>
      <w:tr w:rsidR="009865FB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40" w:after="4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credit%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9865FB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Default="009865FB" w:rsidP="00CD0962">
            <w:pPr>
              <w:spacing w:before="6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2 </w:t>
            </w:r>
            <w:proofErr w:type="spellStart"/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0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Number of teaching hours per week : 2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lectures + 0 seminar</w:t>
            </w:r>
          </w:p>
        </w:tc>
      </w:tr>
      <w:tr w:rsidR="009865FB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mark</w:t>
            </w:r>
          </w:p>
        </w:tc>
      </w:tr>
      <w:tr w:rsidR="009865FB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865FB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9865FB" w:rsidRPr="004B40E4" w:rsidRDefault="009865FB" w:rsidP="009865FB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65FB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65FB" w:rsidRPr="004B40E4" w:rsidRDefault="009865FB" w:rsidP="00CD0962">
            <w:pPr>
              <w:spacing w:line="256" w:lineRule="auto"/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(textiles,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metal,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glass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paper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plastic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pairing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possibilities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knowledge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reliability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machines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devices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impact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re-processability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interaction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diffusion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migration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commodity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marking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labeling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Mandatory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voluntary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labeling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information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advertising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9865FB" w:rsidRPr="004B40E4" w:rsidRDefault="009865FB" w:rsidP="00CD0962">
            <w:pPr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Packing elements (basic concepts, aims and tasks of the pack)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>Packaging Training (consumer and multipack packaging)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>Paper (sachets, bags, sacks, carton boxes)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>Metal packaging products (coated and zinc plated steel plate, aluminum foil, trays, tubes and barrels)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val="en" w:eastAsia="en-US"/>
              </w:rPr>
            </w:pP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plastics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-based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packaging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products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>hermoplastics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and hardening plastics films,</w:t>
            </w:r>
          </w:p>
          <w:p w:rsidR="009865FB" w:rsidRPr="004B40E4" w:rsidRDefault="009865FB" w:rsidP="00CD0962">
            <w:pPr>
              <w:autoSpaceDE w:val="0"/>
              <w:adjustRightInd w:val="0"/>
              <w:spacing w:line="25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plates, boxes, hollow objects)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Glass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containers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narrow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wide-mouth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jars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closing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Wood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packing materials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Textiles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packing materials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Combined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packaging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supplies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Vacuum and modified atmosphere packaging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Dangerous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goods packaging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Cargo handling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markings,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signs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Packaging </w:t>
            </w:r>
            <w:r w:rsidRPr="004B40E4">
              <w:rPr>
                <w:rStyle w:val="hps"/>
                <w:rFonts w:ascii="Arial" w:hAnsi="Arial" w:cs="Arial"/>
                <w:sz w:val="22"/>
                <w:szCs w:val="22"/>
                <w:lang w:val="en" w:eastAsia="en-US"/>
              </w:rPr>
              <w:t>and the environment</w:t>
            </w:r>
            <w:r w:rsidRPr="004B40E4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protection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interaction</w:t>
            </w:r>
            <w:proofErr w:type="spellEnd"/>
          </w:p>
          <w:p w:rsidR="009865FB" w:rsidRPr="004B40E4" w:rsidRDefault="009865FB" w:rsidP="00CD0962">
            <w:pPr>
              <w:autoSpaceDE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865FB" w:rsidRPr="004B40E4" w:rsidRDefault="009865FB" w:rsidP="00CD0962">
            <w:pPr>
              <w:autoSpaceDE w:val="0"/>
              <w:adjustRightInd w:val="0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865FB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65FB" w:rsidRPr="004B40E4" w:rsidRDefault="009865FB" w:rsidP="00CD0962">
            <w:pPr>
              <w:autoSpaceDE w:val="0"/>
              <w:adjustRightInd w:val="0"/>
              <w:spacing w:line="256" w:lineRule="auto"/>
              <w:ind w:left="75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865FB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65FB" w:rsidRPr="004B40E4" w:rsidRDefault="009865FB" w:rsidP="00CD0962">
            <w:pPr>
              <w:spacing w:line="256" w:lineRule="auto"/>
              <w:ind w:right="-108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English </w:t>
            </w:r>
          </w:p>
        </w:tc>
      </w:tr>
      <w:tr w:rsidR="009865FB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65FB" w:rsidRPr="004B40E4" w:rsidRDefault="009865FB" w:rsidP="009865FB">
            <w:pPr>
              <w:pStyle w:val="Listaszerbekezds"/>
              <w:numPr>
                <w:ilvl w:val="0"/>
                <w:numId w:val="1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Richard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Derek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McDowell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Mark J.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Kirwan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2003.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 CRC Press, London. 346 p. ISBN 9780849397882.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Dong Sun Lee, Kit L.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Yam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Luciano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Piergiovanni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2008.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Science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 CRC Press, London. 656 p. ISBN 9780824727796.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Gordon L Robertson: 2013.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Principles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 CRC Press, London. 686 p. ISBN 9781439862421.</w:t>
            </w:r>
          </w:p>
        </w:tc>
      </w:tr>
      <w:tr w:rsidR="009865FB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65FB" w:rsidRPr="004B40E4" w:rsidRDefault="009865FB" w:rsidP="00CD0962">
            <w:pPr>
              <w:spacing w:line="256" w:lineRule="auto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9865FB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9865F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Knowledge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principles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laboratory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safety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analysis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Skills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learn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laboratory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techniques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account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health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standards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applying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new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whole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Attitude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receptive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learn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needed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order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understand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equipments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tools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industry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function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9865FB" w:rsidRPr="004B40E4" w:rsidRDefault="009865FB" w:rsidP="009865F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Autonomy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should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own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work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work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colleagues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under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supervision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9865FB" w:rsidRPr="004B40E4" w:rsidRDefault="009865FB" w:rsidP="009865FB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65FB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 Béla Dr. Kovács; Éva Bacskainé Dr. Bódi</w:t>
            </w:r>
          </w:p>
        </w:tc>
      </w:tr>
      <w:tr w:rsidR="009865FB" w:rsidRPr="004B40E4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Other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s): -</w:t>
            </w:r>
          </w:p>
        </w:tc>
      </w:tr>
    </w:tbl>
    <w:p w:rsidR="009865FB" w:rsidRPr="004B40E4" w:rsidRDefault="009865FB" w:rsidP="009865FB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65FB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65FB" w:rsidRPr="004B40E4" w:rsidRDefault="009865FB" w:rsidP="009865FB">
            <w:pPr>
              <w:pStyle w:val="Listaszerbekezds"/>
              <w:numPr>
                <w:ilvl w:val="0"/>
                <w:numId w:val="1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Written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(minimum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marks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when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percentage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60%)</w:t>
            </w:r>
          </w:p>
          <w:p w:rsidR="009865FB" w:rsidRPr="004B40E4" w:rsidRDefault="009865FB" w:rsidP="00CD0962">
            <w:pPr>
              <w:pStyle w:val="Listaszerbekezds"/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Written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exam</w:t>
            </w:r>
            <w:proofErr w:type="spellEnd"/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pStyle w:val="Listaszerbekezds"/>
              <w:suppressAutoHyphens/>
              <w:spacing w:line="256" w:lineRule="auto"/>
              <w:ind w:left="6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Giving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presentation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(10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minutes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</w:tbl>
    <w:p w:rsidR="009865FB" w:rsidRPr="004B40E4" w:rsidRDefault="009865FB" w:rsidP="009865FB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65FB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865FB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Essentials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tools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dengerous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goods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? +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dengerous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goods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ways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deceptive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mislead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customer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?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Functions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edible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edible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selection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criteria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(5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points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disadvantages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glass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(8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points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migration</w:t>
            </w:r>
            <w:proofErr w:type="spellEnd"/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waste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management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Some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recent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trends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Design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Agents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biodeterioration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Why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communicates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information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?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textil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Metal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coating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disadvantages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metal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packages</w:t>
            </w:r>
            <w:proofErr w:type="spellEnd"/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Mention 3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examples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innovative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!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affecting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shelf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life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disadvantages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paper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Aim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technique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CR-packaging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List 10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examples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known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organic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contaminants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Logistical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Vacuum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disadvantages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metal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packages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Primary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secondary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funtions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packaging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Migrating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components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Plastic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name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common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adverse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health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Migration – food to packaging and packaging to food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affecting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Shelf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Life; 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Preservation methods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Main constituents of the wood;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Bleaching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Major food deterioration reactions, Common food preservation methods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Advantages and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disadvantages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of Aseptic Packaging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Glass production 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Reasons for packaging design. Types of packaging design</w:t>
            </w:r>
          </w:p>
          <w:p w:rsidR="009865FB" w:rsidRPr="004B40E4" w:rsidRDefault="009865FB" w:rsidP="009865FB">
            <w:pPr>
              <w:pStyle w:val="Listaszerbekezds"/>
              <w:numPr>
                <w:ilvl w:val="0"/>
                <w:numId w:val="17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Types and additives of plastics </w:t>
            </w:r>
          </w:p>
        </w:tc>
      </w:tr>
    </w:tbl>
    <w:p w:rsidR="00F42A96" w:rsidRPr="009865FB" w:rsidRDefault="00F42A96" w:rsidP="009865FB"/>
    <w:sectPr w:rsidR="00F42A96" w:rsidRPr="0098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30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3582B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8422C6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7FB2"/>
    <w:multiLevelType w:val="hybridMultilevel"/>
    <w:tmpl w:val="E652929A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E92"/>
    <w:multiLevelType w:val="hybridMultilevel"/>
    <w:tmpl w:val="ED7EC348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728AA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A303DE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F906C48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A5F0D61"/>
    <w:multiLevelType w:val="hybridMultilevel"/>
    <w:tmpl w:val="08A88AD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22429C5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6961"/>
    <w:multiLevelType w:val="hybridMultilevel"/>
    <w:tmpl w:val="0BFE5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90A1F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5B896BE4"/>
    <w:multiLevelType w:val="hybridMultilevel"/>
    <w:tmpl w:val="BBA0816A"/>
    <w:lvl w:ilvl="0" w:tplc="F3A6E998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675C120A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F3706"/>
    <w:multiLevelType w:val="hybridMultilevel"/>
    <w:tmpl w:val="C5ACE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31760"/>
    <w:multiLevelType w:val="hybridMultilevel"/>
    <w:tmpl w:val="C0564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37405"/>
    <w:rsid w:val="002721C8"/>
    <w:rsid w:val="002A6EC0"/>
    <w:rsid w:val="00331602"/>
    <w:rsid w:val="00492D51"/>
    <w:rsid w:val="004B2365"/>
    <w:rsid w:val="004C5D3E"/>
    <w:rsid w:val="005D5B8C"/>
    <w:rsid w:val="00646768"/>
    <w:rsid w:val="006F45EC"/>
    <w:rsid w:val="00800AF8"/>
    <w:rsid w:val="00830832"/>
    <w:rsid w:val="008C72AA"/>
    <w:rsid w:val="00917EE8"/>
    <w:rsid w:val="009865FB"/>
    <w:rsid w:val="00B01DA3"/>
    <w:rsid w:val="00D344CA"/>
    <w:rsid w:val="00D77BED"/>
    <w:rsid w:val="00D919D0"/>
    <w:rsid w:val="00DC6898"/>
    <w:rsid w:val="00EC20C1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2019-08-28T12:42:00Z</dcterms:created>
  <dcterms:modified xsi:type="dcterms:W3CDTF">2019-08-28T12:42:00Z</dcterms:modified>
</cp:coreProperties>
</file>