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4B2365"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4B2365" w:rsidRDefault="004B2365" w:rsidP="00CD0962">
            <w:pPr>
              <w:jc w:val="both"/>
              <w:rPr>
                <w:rFonts w:ascii="Arial" w:hAnsi="Arial" w:cs="Arial"/>
                <w:b/>
                <w:color w:val="auto"/>
                <w:sz w:val="22"/>
                <w:szCs w:val="22"/>
              </w:rPr>
            </w:pPr>
            <w:proofErr w:type="spellStart"/>
            <w:r w:rsidRPr="004B40E4">
              <w:rPr>
                <w:rFonts w:ascii="Arial" w:hAnsi="Arial" w:cs="Arial"/>
                <w:b/>
                <w:color w:val="auto"/>
                <w:sz w:val="22"/>
                <w:szCs w:val="22"/>
              </w:rPr>
              <w:t>Title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Code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w:t>
            </w:r>
            <w:r w:rsidRPr="004B40E4">
              <w:rPr>
                <w:rFonts w:ascii="Arial" w:hAnsi="Arial" w:cs="Arial"/>
                <w:b/>
                <w:color w:val="auto"/>
                <w:sz w:val="22"/>
                <w:szCs w:val="22"/>
              </w:rPr>
              <w:t xml:space="preserve"> </w:t>
            </w:r>
          </w:p>
          <w:p w:rsidR="004B2365" w:rsidRPr="004B40E4" w:rsidRDefault="004B2365" w:rsidP="004B2365">
            <w:pPr>
              <w:jc w:val="both"/>
              <w:rPr>
                <w:rFonts w:ascii="Arial" w:hAnsi="Arial" w:cs="Arial"/>
                <w:b/>
                <w:i/>
                <w:color w:val="auto"/>
                <w:sz w:val="22"/>
                <w:szCs w:val="22"/>
              </w:rPr>
            </w:pPr>
            <w:bookmarkStart w:id="0" w:name="_GoBack"/>
            <w:proofErr w:type="spellStart"/>
            <w:r w:rsidRPr="004B40E4">
              <w:rPr>
                <w:rFonts w:ascii="Arial" w:hAnsi="Arial" w:cs="Arial"/>
                <w:b/>
                <w:color w:val="auto"/>
                <w:sz w:val="22"/>
                <w:szCs w:val="22"/>
              </w:rPr>
              <w:t>Nutritional</w:t>
            </w:r>
            <w:proofErr w:type="spellEnd"/>
            <w:r w:rsidRPr="004B40E4">
              <w:rPr>
                <w:rFonts w:ascii="Arial" w:hAnsi="Arial" w:cs="Arial"/>
                <w:b/>
                <w:color w:val="auto"/>
                <w:sz w:val="22"/>
                <w:szCs w:val="22"/>
              </w:rPr>
              <w:t xml:space="preserve"> </w:t>
            </w:r>
            <w:proofErr w:type="spellStart"/>
            <w:r w:rsidRPr="004B40E4">
              <w:rPr>
                <w:rFonts w:ascii="Arial" w:hAnsi="Arial" w:cs="Arial"/>
                <w:b/>
                <w:color w:val="auto"/>
                <w:sz w:val="22"/>
                <w:szCs w:val="22"/>
              </w:rPr>
              <w:t>genetics</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genomics</w:t>
            </w:r>
            <w:proofErr w:type="spellEnd"/>
            <w:proofErr w:type="gramStart"/>
            <w:r>
              <w:rPr>
                <w:rFonts w:ascii="Arial" w:hAnsi="Arial" w:cs="Arial"/>
                <w:b/>
                <w:color w:val="auto"/>
                <w:sz w:val="22"/>
                <w:szCs w:val="22"/>
              </w:rPr>
              <w:t xml:space="preserve">, </w:t>
            </w:r>
            <w:r w:rsidRPr="004B40E4">
              <w:rPr>
                <w:rFonts w:ascii="Arial" w:hAnsi="Arial" w:cs="Arial"/>
                <w:b/>
                <w:color w:val="auto"/>
                <w:sz w:val="22"/>
                <w:szCs w:val="22"/>
              </w:rPr>
              <w:t xml:space="preserve"> MTMEL7037A</w:t>
            </w:r>
            <w:bookmarkEnd w:id="0"/>
            <w:proofErr w:type="gramEnd"/>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b/>
                <w:color w:val="auto"/>
                <w:sz w:val="22"/>
                <w:szCs w:val="22"/>
              </w:rPr>
            </w:pPr>
            <w:r w:rsidRPr="004B40E4">
              <w:rPr>
                <w:rFonts w:ascii="Arial" w:hAnsi="Arial" w:cs="Arial"/>
                <w:b/>
                <w:color w:val="auto"/>
                <w:sz w:val="22"/>
                <w:szCs w:val="22"/>
              </w:rPr>
              <w:t xml:space="preserve">ECTS Credit </w:t>
            </w:r>
            <w:proofErr w:type="spellStart"/>
            <w:r w:rsidRPr="004B40E4">
              <w:rPr>
                <w:rFonts w:ascii="Arial" w:hAnsi="Arial" w:cs="Arial"/>
                <w:b/>
                <w:color w:val="auto"/>
                <w:sz w:val="22"/>
                <w:szCs w:val="22"/>
              </w:rPr>
              <w:t>Points</w:t>
            </w:r>
            <w:proofErr w:type="spellEnd"/>
            <w:r w:rsidRPr="004B40E4">
              <w:rPr>
                <w:rFonts w:ascii="Arial" w:hAnsi="Arial" w:cs="Arial"/>
                <w:b/>
                <w:color w:val="auto"/>
                <w:sz w:val="22"/>
                <w:szCs w:val="22"/>
              </w:rPr>
              <w:t>: 4</w:t>
            </w:r>
          </w:p>
        </w:tc>
      </w:tr>
      <w:tr w:rsidR="004B2365"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u w:val="single"/>
              </w:rPr>
              <w:t>optional</w:t>
            </w:r>
            <w:proofErr w:type="spellEnd"/>
            <w:r w:rsidRPr="004B40E4">
              <w:rPr>
                <w:rFonts w:ascii="Arial" w:hAnsi="Arial" w:cs="Arial"/>
                <w:color w:val="auto"/>
                <w:sz w:val="22"/>
                <w:szCs w:val="22"/>
              </w:rPr>
              <w:t xml:space="preserve"> </w:t>
            </w:r>
          </w:p>
        </w:tc>
      </w:tr>
      <w:tr w:rsidR="004B2365"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spacing w:before="40" w:after="40"/>
              <w:jc w:val="both"/>
              <w:rPr>
                <w:rFonts w:ascii="Arial" w:hAnsi="Arial" w:cs="Arial"/>
                <w:color w:val="auto"/>
                <w:sz w:val="22"/>
                <w:szCs w:val="22"/>
              </w:rPr>
            </w:pPr>
            <w:r w:rsidRPr="004B40E4">
              <w:rPr>
                <w:rFonts w:ascii="Arial" w:hAnsi="Arial" w:cs="Arial"/>
                <w:b/>
                <w:color w:val="auto"/>
                <w:sz w:val="22"/>
                <w:szCs w:val="22"/>
              </w:rPr>
              <w:t xml:space="preserve">Ratio of </w:t>
            </w:r>
            <w:proofErr w:type="spellStart"/>
            <w:r w:rsidRPr="004B40E4">
              <w:rPr>
                <w:rFonts w:ascii="Arial" w:hAnsi="Arial" w:cs="Arial"/>
                <w:b/>
                <w:color w:val="auto"/>
                <w:sz w:val="22"/>
                <w:szCs w:val="22"/>
              </w:rPr>
              <w:t>theory</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practice</w:t>
            </w:r>
            <w:proofErr w:type="spellEnd"/>
            <w:r w:rsidRPr="004B40E4">
              <w:rPr>
                <w:rFonts w:ascii="Arial" w:hAnsi="Arial" w:cs="Arial"/>
                <w:b/>
                <w:color w:val="auto"/>
                <w:sz w:val="22"/>
                <w:szCs w:val="22"/>
              </w:rPr>
              <w:t>: 50/</w:t>
            </w:r>
            <w:proofErr w:type="spellStart"/>
            <w:r w:rsidRPr="004B40E4">
              <w:rPr>
                <w:rFonts w:ascii="Arial" w:hAnsi="Arial" w:cs="Arial"/>
                <w:b/>
                <w:color w:val="auto"/>
                <w:sz w:val="22"/>
                <w:szCs w:val="22"/>
              </w:rPr>
              <w:t>50</w:t>
            </w:r>
            <w:proofErr w:type="spellEnd"/>
            <w:r w:rsidRPr="004B40E4">
              <w:rPr>
                <w:rFonts w:ascii="Arial" w:hAnsi="Arial" w:cs="Arial"/>
                <w:b/>
                <w:color w:val="auto"/>
                <w:sz w:val="22"/>
                <w:szCs w:val="22"/>
              </w:rPr>
              <w:t xml:space="preserve"> </w:t>
            </w:r>
            <w:r w:rsidRPr="004B40E4">
              <w:rPr>
                <w:rFonts w:ascii="Arial" w:hAnsi="Arial" w:cs="Arial"/>
                <w:color w:val="auto"/>
                <w:sz w:val="22"/>
                <w:szCs w:val="22"/>
              </w:rPr>
              <w:t>(</w:t>
            </w:r>
            <w:proofErr w:type="spellStart"/>
            <w:r w:rsidRPr="004B40E4">
              <w:rPr>
                <w:rFonts w:ascii="Arial" w:hAnsi="Arial" w:cs="Arial"/>
                <w:color w:val="auto"/>
                <w:sz w:val="22"/>
                <w:szCs w:val="22"/>
              </w:rPr>
              <w:t>credit%</w:t>
            </w:r>
            <w:proofErr w:type="spellEnd"/>
            <w:r w:rsidRPr="004B40E4">
              <w:rPr>
                <w:rFonts w:ascii="Arial" w:hAnsi="Arial" w:cs="Arial"/>
                <w:color w:val="auto"/>
                <w:sz w:val="22"/>
                <w:szCs w:val="22"/>
              </w:rPr>
              <w:t>)</w:t>
            </w:r>
          </w:p>
        </w:tc>
      </w:tr>
      <w:tr w:rsidR="004B2365"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number</w:t>
            </w:r>
            <w:proofErr w:type="spellEnd"/>
            <w:r w:rsidRPr="004B40E4">
              <w:rPr>
                <w:rFonts w:ascii="Arial" w:hAnsi="Arial" w:cs="Arial"/>
                <w:b/>
                <w:color w:val="auto"/>
                <w:sz w:val="22"/>
                <w:szCs w:val="22"/>
              </w:rPr>
              <w:t xml:space="preserve"> of </w:t>
            </w:r>
            <w:proofErr w:type="spellStart"/>
            <w:r w:rsidRPr="004B40E4">
              <w:rPr>
                <w:rFonts w:ascii="Arial" w:hAnsi="Arial" w:cs="Arial"/>
                <w:b/>
                <w:color w:val="auto"/>
                <w:sz w:val="22"/>
                <w:szCs w:val="22"/>
              </w:rPr>
              <w:t>classes</w:t>
            </w:r>
            <w:proofErr w:type="spellEnd"/>
            <w:r w:rsidRPr="004B40E4">
              <w:rPr>
                <w:rFonts w:ascii="Arial" w:hAnsi="Arial" w:cs="Arial"/>
                <w:b/>
                <w:color w:val="auto"/>
                <w:sz w:val="22"/>
                <w:szCs w:val="22"/>
              </w:rPr>
              <w:t xml:space="preserve"> per </w:t>
            </w:r>
            <w:proofErr w:type="spellStart"/>
            <w:r w:rsidRPr="004B40E4">
              <w:rPr>
                <w:rFonts w:ascii="Arial" w:hAnsi="Arial" w:cs="Arial"/>
                <w:b/>
                <w:color w:val="auto"/>
                <w:sz w:val="22"/>
                <w:szCs w:val="22"/>
              </w:rPr>
              <w:t>semester</w:t>
            </w:r>
            <w:proofErr w:type="spellEnd"/>
            <w:r w:rsidRPr="004B40E4">
              <w:rPr>
                <w:rFonts w:ascii="Arial" w:hAnsi="Arial" w:cs="Arial"/>
                <w:color w:val="auto"/>
                <w:sz w:val="22"/>
                <w:szCs w:val="22"/>
              </w:rPr>
              <w:t xml:space="preserve">:28 </w:t>
            </w:r>
            <w:proofErr w:type="spellStart"/>
            <w:proofErr w:type="gramStart"/>
            <w:r w:rsidRPr="004B40E4">
              <w:rPr>
                <w:rFonts w:ascii="Arial" w:hAnsi="Arial" w:cs="Arial"/>
                <w:color w:val="auto"/>
                <w:sz w:val="22"/>
                <w:szCs w:val="22"/>
              </w:rPr>
              <w:t>hour</w:t>
            </w:r>
            <w:proofErr w:type="spellEnd"/>
            <w:r w:rsidRPr="004B40E4">
              <w:rPr>
                <w:rFonts w:ascii="Arial" w:hAnsi="Arial" w:cs="Arial"/>
                <w:color w:val="auto"/>
                <w:sz w:val="22"/>
                <w:szCs w:val="22"/>
              </w:rPr>
              <w:t>(</w:t>
            </w:r>
            <w:proofErr w:type="gramEnd"/>
            <w:r w:rsidRPr="004B40E4">
              <w:rPr>
                <w:rFonts w:ascii="Arial" w:hAnsi="Arial" w:cs="Arial"/>
                <w:color w:val="auto"/>
                <w:sz w:val="22"/>
                <w:szCs w:val="22"/>
              </w:rPr>
              <w:t xml:space="preserve">s)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and28 </w:t>
            </w:r>
            <w:proofErr w:type="spellStart"/>
            <w:r w:rsidRPr="004B40E4">
              <w:rPr>
                <w:rFonts w:ascii="Arial" w:hAnsi="Arial" w:cs="Arial"/>
                <w:color w:val="auto"/>
                <w:sz w:val="22"/>
                <w:szCs w:val="22"/>
              </w:rPr>
              <w:t>hour</w:t>
            </w:r>
            <w:proofErr w:type="spellEnd"/>
            <w:r w:rsidRPr="004B40E4">
              <w:rPr>
                <w:rFonts w:ascii="Arial" w:hAnsi="Arial" w:cs="Arial"/>
                <w:color w:val="auto"/>
                <w:sz w:val="22"/>
                <w:szCs w:val="22"/>
              </w:rPr>
              <w:t xml:space="preserve">(s)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 xml:space="preserve"> per </w:t>
            </w:r>
            <w:proofErr w:type="spellStart"/>
            <w:r w:rsidRPr="004B40E4">
              <w:rPr>
                <w:rFonts w:ascii="Arial" w:hAnsi="Arial" w:cs="Arial"/>
                <w:b/>
                <w:color w:val="auto"/>
                <w:sz w:val="22"/>
                <w:szCs w:val="22"/>
              </w:rPr>
              <w:t>semester</w:t>
            </w:r>
            <w:proofErr w:type="spellEnd"/>
            <w:r w:rsidRPr="004B40E4">
              <w:rPr>
                <w:rFonts w:ascii="Arial" w:hAnsi="Arial" w:cs="Arial"/>
                <w:color w:val="auto"/>
                <w:sz w:val="22"/>
                <w:szCs w:val="22"/>
              </w:rPr>
              <w:t xml:space="preserve"> </w:t>
            </w:r>
          </w:p>
          <w:p w:rsidR="004B2365" w:rsidRPr="004B40E4" w:rsidRDefault="004B2365" w:rsidP="00CD0962">
            <w:pPr>
              <w:spacing w:before="60"/>
              <w:jc w:val="both"/>
              <w:rPr>
                <w:rFonts w:ascii="Arial" w:hAnsi="Arial" w:cs="Arial"/>
                <w:color w:val="auto"/>
                <w:sz w:val="22"/>
                <w:szCs w:val="22"/>
              </w:rPr>
            </w:pPr>
            <w:proofErr w:type="spellStart"/>
            <w:r w:rsidRPr="004B40E4">
              <w:rPr>
                <w:rFonts w:ascii="Arial" w:hAnsi="Arial" w:cs="Arial"/>
                <w:color w:val="auto"/>
                <w:sz w:val="22"/>
                <w:szCs w:val="22"/>
              </w:rPr>
              <w:t>Number</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teaching</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hours</w:t>
            </w:r>
            <w:proofErr w:type="spellEnd"/>
            <w:r w:rsidRPr="004B40E4">
              <w:rPr>
                <w:rFonts w:ascii="Arial" w:hAnsi="Arial" w:cs="Arial"/>
                <w:color w:val="auto"/>
                <w:sz w:val="22"/>
                <w:szCs w:val="22"/>
              </w:rPr>
              <w:t xml:space="preserve"> / </w:t>
            </w:r>
            <w:proofErr w:type="spellStart"/>
            <w:proofErr w:type="gramStart"/>
            <w:r w:rsidRPr="004B40E4">
              <w:rPr>
                <w:rFonts w:ascii="Arial" w:hAnsi="Arial" w:cs="Arial"/>
                <w:color w:val="auto"/>
                <w:sz w:val="22"/>
                <w:szCs w:val="22"/>
              </w:rPr>
              <w:t>week</w:t>
            </w:r>
            <w:proofErr w:type="spellEnd"/>
            <w:r w:rsidRPr="004B40E4">
              <w:rPr>
                <w:rFonts w:ascii="Arial" w:hAnsi="Arial" w:cs="Arial"/>
                <w:color w:val="auto"/>
                <w:sz w:val="22"/>
                <w:szCs w:val="22"/>
              </w:rPr>
              <w:t xml:space="preserve"> :</w:t>
            </w:r>
            <w:proofErr w:type="gramEnd"/>
            <w:r w:rsidRPr="004B40E4">
              <w:rPr>
                <w:rFonts w:ascii="Arial" w:hAnsi="Arial" w:cs="Arial"/>
                <w:color w:val="auto"/>
                <w:sz w:val="22"/>
                <w:szCs w:val="22"/>
              </w:rPr>
              <w:t xml:space="preserve"> 2+</w:t>
            </w:r>
            <w:proofErr w:type="spellStart"/>
            <w:r w:rsidRPr="004B40E4">
              <w:rPr>
                <w:rFonts w:ascii="Arial" w:hAnsi="Arial" w:cs="Arial"/>
                <w:color w:val="auto"/>
                <w:sz w:val="22"/>
                <w:szCs w:val="22"/>
              </w:rPr>
              <w:t>2</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w:t>
            </w:r>
          </w:p>
        </w:tc>
      </w:tr>
      <w:tr w:rsidR="004B2365"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w:t>
            </w:r>
            <w:proofErr w:type="spellEnd"/>
            <w:r w:rsidRPr="004B40E4">
              <w:rPr>
                <w:rFonts w:ascii="Arial" w:hAnsi="Arial" w:cs="Arial"/>
                <w:sz w:val="22"/>
                <w:szCs w:val="22"/>
              </w:rPr>
              <w:t xml:space="preserve">: </w:t>
            </w:r>
            <w:proofErr w:type="spellStart"/>
            <w:r w:rsidRPr="004B40E4">
              <w:rPr>
                <w:rFonts w:ascii="Arial" w:hAnsi="Arial" w:cs="Arial"/>
                <w:sz w:val="22"/>
                <w:szCs w:val="22"/>
                <w:u w:val="single"/>
              </w:rPr>
              <w:t>exam</w:t>
            </w:r>
            <w:proofErr w:type="spellEnd"/>
            <w:r w:rsidRPr="004B40E4">
              <w:rPr>
                <w:rFonts w:ascii="Arial" w:hAnsi="Arial" w:cs="Arial"/>
                <w:sz w:val="22"/>
                <w:szCs w:val="22"/>
              </w:rPr>
              <w:t xml:space="preserve"> </w:t>
            </w:r>
          </w:p>
        </w:tc>
      </w:tr>
      <w:tr w:rsidR="004B2365"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jc w:val="both"/>
              <w:rPr>
                <w:rFonts w:ascii="Arial" w:hAnsi="Arial" w:cs="Arial"/>
                <w:sz w:val="22"/>
                <w:szCs w:val="22"/>
              </w:rPr>
            </w:pPr>
            <w:proofErr w:type="spellStart"/>
            <w:r w:rsidRPr="004B40E4">
              <w:rPr>
                <w:rFonts w:ascii="Arial" w:hAnsi="Arial" w:cs="Arial"/>
                <w:b/>
                <w:sz w:val="22"/>
                <w:szCs w:val="22"/>
              </w:rPr>
              <w:t>Subject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the</w:t>
            </w:r>
            <w:proofErr w:type="spellEnd"/>
            <w:r w:rsidRPr="004B40E4">
              <w:rPr>
                <w:rFonts w:ascii="Arial" w:hAnsi="Arial" w:cs="Arial"/>
                <w:b/>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3.</w:t>
            </w:r>
          </w:p>
        </w:tc>
      </w:tr>
      <w:tr w:rsidR="004B2365"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sz w:val="22"/>
                <w:szCs w:val="22"/>
              </w:rPr>
              <w:t xml:space="preserve"> </w:t>
            </w:r>
            <w:proofErr w:type="spellStart"/>
            <w:r w:rsidRPr="004B40E4">
              <w:rPr>
                <w:rFonts w:ascii="Arial" w:hAnsi="Arial" w:cs="Arial"/>
                <w:i/>
                <w:sz w:val="22"/>
                <w:szCs w:val="22"/>
              </w:rPr>
              <w:t>Nutritional</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Sciences</w:t>
            </w:r>
            <w:proofErr w:type="spellEnd"/>
            <w:r w:rsidRPr="004B40E4">
              <w:rPr>
                <w:rFonts w:ascii="Arial" w:hAnsi="Arial" w:cs="Arial"/>
                <w:i/>
                <w:sz w:val="22"/>
                <w:szCs w:val="22"/>
              </w:rPr>
              <w:t xml:space="preserve">, Essentials of </w:t>
            </w:r>
            <w:proofErr w:type="spellStart"/>
            <w:r w:rsidRPr="004B40E4">
              <w:rPr>
                <w:rFonts w:ascii="Arial" w:hAnsi="Arial" w:cs="Arial"/>
                <w:i/>
                <w:sz w:val="22"/>
                <w:szCs w:val="22"/>
              </w:rPr>
              <w:t>Molecular</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Cell</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Biology</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Healthy</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nutrition</w:t>
            </w:r>
            <w:proofErr w:type="spellEnd"/>
          </w:p>
        </w:tc>
      </w:tr>
    </w:tbl>
    <w:p w:rsidR="004B2365" w:rsidRPr="004B40E4" w:rsidRDefault="004B2365" w:rsidP="004B236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B2365"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sz w:val="22"/>
                <w:szCs w:val="22"/>
                <w:lang w:val="en-US"/>
              </w:rPr>
            </w:pPr>
            <w:r w:rsidRPr="004B40E4">
              <w:rPr>
                <w:rFonts w:ascii="Arial" w:hAnsi="Arial" w:cs="Arial"/>
                <w:b/>
                <w:sz w:val="22"/>
                <w:szCs w:val="22"/>
                <w:lang w:val="en-US"/>
              </w:rPr>
              <w:t xml:space="preserve">Summary of content - </w:t>
            </w:r>
            <w:r w:rsidRPr="004B40E4">
              <w:rPr>
                <w:rFonts w:ascii="Arial" w:hAnsi="Arial" w:cs="Arial"/>
                <w:b/>
                <w:sz w:val="22"/>
                <w:szCs w:val="22"/>
                <w:u w:val="single"/>
                <w:lang w:val="en-US"/>
              </w:rPr>
              <w:t>theory</w:t>
            </w:r>
            <w:r w:rsidRPr="004B40E4">
              <w:rPr>
                <w:rFonts w:ascii="Arial" w:hAnsi="Arial" w:cs="Arial"/>
                <w:sz w:val="22"/>
                <w:szCs w:val="22"/>
                <w:lang w:val="en-US"/>
              </w:rPr>
              <w:t xml:space="preserve">: </w:t>
            </w:r>
          </w:p>
          <w:p w:rsidR="004B2365" w:rsidRPr="004B40E4" w:rsidRDefault="004B2365" w:rsidP="00CD0962">
            <w:pPr>
              <w:spacing w:before="60"/>
              <w:jc w:val="both"/>
              <w:rPr>
                <w:rFonts w:ascii="Arial" w:hAnsi="Arial" w:cs="Arial"/>
                <w:sz w:val="22"/>
                <w:szCs w:val="22"/>
                <w:lang w:val="en-US"/>
              </w:rPr>
            </w:pPr>
            <w:r w:rsidRPr="004B40E4">
              <w:rPr>
                <w:rFonts w:ascii="Arial" w:hAnsi="Arial" w:cs="Arial"/>
                <w:sz w:val="22"/>
                <w:szCs w:val="22"/>
                <w:lang w:val="en-US"/>
              </w:rPr>
              <w:t xml:space="preserve">• Students will understand the correlation between genomes and environmental factors that facilitate every vital phenomena, and nutrition will be regarded as one of the most important environmental factors, influencing the general health condition of humans.   </w:t>
            </w:r>
          </w:p>
          <w:p w:rsidR="004B2365" w:rsidRPr="004B40E4" w:rsidRDefault="004B2365" w:rsidP="00CD0962">
            <w:pPr>
              <w:spacing w:before="60"/>
              <w:jc w:val="both"/>
              <w:rPr>
                <w:rFonts w:ascii="Arial" w:hAnsi="Arial" w:cs="Arial"/>
                <w:b/>
                <w:sz w:val="22"/>
                <w:szCs w:val="22"/>
              </w:rPr>
            </w:pPr>
            <w:r w:rsidRPr="004B40E4">
              <w:rPr>
                <w:rFonts w:ascii="Arial" w:hAnsi="Arial" w:cs="Arial"/>
                <w:sz w:val="22"/>
                <w:szCs w:val="22"/>
                <w:lang w:val="en-US"/>
              </w:rPr>
              <w:t>• Students will be acquainted with the main trends nutritional genetic and genomic trends regarding the innovative food development with respect to personalized preventive and /or therapeutic nutrition.</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ind w:left="34"/>
              <w:jc w:val="both"/>
              <w:rPr>
                <w:rFonts w:ascii="Arial" w:hAnsi="Arial" w:cs="Arial"/>
                <w:sz w:val="22"/>
                <w:szCs w:val="22"/>
              </w:rPr>
            </w:pPr>
            <w:proofErr w:type="spellStart"/>
            <w:r w:rsidRPr="004B40E4">
              <w:rPr>
                <w:rFonts w:ascii="Arial" w:hAnsi="Arial" w:cs="Arial"/>
                <w:sz w:val="22"/>
                <w:szCs w:val="22"/>
              </w:rPr>
              <w:t>Course</w:t>
            </w:r>
            <w:proofErr w:type="spellEnd"/>
            <w:r w:rsidRPr="004B40E4">
              <w:rPr>
                <w:rFonts w:ascii="Arial" w:hAnsi="Arial" w:cs="Arial"/>
                <w:sz w:val="22"/>
                <w:szCs w:val="22"/>
              </w:rPr>
              <w:t xml:space="preserve"> </w:t>
            </w:r>
            <w:proofErr w:type="spellStart"/>
            <w:r w:rsidRPr="004B40E4">
              <w:rPr>
                <w:rFonts w:ascii="Arial" w:hAnsi="Arial" w:cs="Arial"/>
                <w:sz w:val="22"/>
                <w:szCs w:val="22"/>
              </w:rPr>
              <w:t>objectives</w:t>
            </w:r>
            <w:proofErr w:type="spellEnd"/>
            <w:r w:rsidRPr="004B40E4">
              <w:rPr>
                <w:rFonts w:ascii="Arial" w:hAnsi="Arial" w:cs="Arial"/>
                <w:sz w:val="22"/>
                <w:szCs w:val="22"/>
              </w:rPr>
              <w:t>:</w:t>
            </w:r>
          </w:p>
          <w:p w:rsidR="004B2365" w:rsidRPr="004B40E4" w:rsidRDefault="004B2365" w:rsidP="00CD0962">
            <w:pPr>
              <w:ind w:left="34"/>
              <w:jc w:val="both"/>
              <w:rPr>
                <w:rStyle w:val="st"/>
                <w:rFonts w:ascii="Arial" w:hAnsi="Arial" w:cs="Arial"/>
                <w:sz w:val="22"/>
                <w:szCs w:val="22"/>
              </w:rPr>
            </w:pP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1. Nutritional genetics and genomics. Concepts, research tools and expectations.</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2. Epigenetics. Molecular targets for diet and chronic disease prevention. Diet influenced chromatin modifications and expression of </w:t>
            </w:r>
            <w:proofErr w:type="spellStart"/>
            <w:r w:rsidRPr="004B40E4">
              <w:rPr>
                <w:rFonts w:ascii="Arial" w:hAnsi="Arial" w:cs="Arial"/>
                <w:sz w:val="22"/>
                <w:szCs w:val="22"/>
                <w:lang w:val="en-US"/>
              </w:rPr>
              <w:t>chemopreventive</w:t>
            </w:r>
            <w:proofErr w:type="spellEnd"/>
            <w:r w:rsidRPr="004B40E4">
              <w:rPr>
                <w:rFonts w:ascii="Arial" w:hAnsi="Arial" w:cs="Arial"/>
                <w:sz w:val="22"/>
                <w:szCs w:val="22"/>
                <w:lang w:val="en-US"/>
              </w:rPr>
              <w:t xml:space="preserve"> genes.</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3-4. Nuclear receptors and signal transduction pathways regulating gene expression.</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5. Nuclear receptors and the control of gene expression by fatty acids. </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6. PPARs regulated cell differentiation processes.</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7. Amino acid availability and gene expression regulation.</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8. Transcriptional regulation of hepatic genes by insulin and glucose.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9. PPARs in atherosclerosis.</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10. PPAR implication in diabetes and metabolic syndrome.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11. Regulation of </w:t>
            </w:r>
            <w:proofErr w:type="spellStart"/>
            <w:r w:rsidRPr="004B40E4">
              <w:rPr>
                <w:rFonts w:ascii="Arial" w:hAnsi="Arial" w:cs="Arial"/>
                <w:sz w:val="22"/>
                <w:szCs w:val="22"/>
                <w:lang w:val="en-US"/>
              </w:rPr>
              <w:t>lipogenic</w:t>
            </w:r>
            <w:proofErr w:type="spellEnd"/>
            <w:r w:rsidRPr="004B40E4">
              <w:rPr>
                <w:rFonts w:ascii="Arial" w:hAnsi="Arial" w:cs="Arial"/>
                <w:sz w:val="22"/>
                <w:szCs w:val="22"/>
                <w:lang w:val="en-US"/>
              </w:rPr>
              <w:t xml:space="preserve"> genes in obesity.</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12. Nutrition and inflammatory response.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13. Genetic polymorphism, nutrition and hypertension.</w:t>
            </w:r>
          </w:p>
          <w:p w:rsidR="004B2365" w:rsidRPr="004B40E4" w:rsidRDefault="004B2365" w:rsidP="00CD0962">
            <w:pPr>
              <w:spacing w:line="276" w:lineRule="auto"/>
              <w:jc w:val="both"/>
              <w:rPr>
                <w:rFonts w:ascii="Arial" w:hAnsi="Arial" w:cs="Arial"/>
                <w:sz w:val="22"/>
                <w:szCs w:val="22"/>
              </w:rPr>
            </w:pPr>
            <w:r w:rsidRPr="004B40E4">
              <w:rPr>
                <w:rFonts w:ascii="Arial" w:hAnsi="Arial" w:cs="Arial"/>
                <w:sz w:val="22"/>
                <w:szCs w:val="22"/>
                <w:lang w:val="en-US"/>
              </w:rPr>
              <w:t>14. Genetic polymorphism, nutrition and cancer.</w:t>
            </w:r>
          </w:p>
        </w:tc>
      </w:tr>
      <w:tr w:rsidR="004B2365"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sz w:val="22"/>
                <w:szCs w:val="22"/>
                <w:lang w:val="en-US"/>
              </w:rPr>
            </w:pPr>
            <w:r w:rsidRPr="004B40E4">
              <w:rPr>
                <w:rFonts w:ascii="Arial" w:hAnsi="Arial" w:cs="Arial"/>
                <w:b/>
                <w:sz w:val="22"/>
                <w:szCs w:val="22"/>
                <w:lang w:val="en-US"/>
              </w:rPr>
              <w:t xml:space="preserve">Summary of content - </w:t>
            </w:r>
            <w:r w:rsidRPr="004B40E4">
              <w:rPr>
                <w:rFonts w:ascii="Arial" w:hAnsi="Arial" w:cs="Arial"/>
                <w:b/>
                <w:sz w:val="22"/>
                <w:szCs w:val="22"/>
                <w:u w:val="single"/>
                <w:lang w:val="en-US"/>
              </w:rPr>
              <w:t>practice</w:t>
            </w:r>
            <w:r w:rsidRPr="004B40E4">
              <w:rPr>
                <w:rFonts w:ascii="Arial" w:hAnsi="Arial" w:cs="Arial"/>
                <w:sz w:val="22"/>
                <w:szCs w:val="22"/>
                <w:lang w:val="en-US"/>
              </w:rPr>
              <w:t>:</w:t>
            </w:r>
          </w:p>
          <w:p w:rsidR="004B2365" w:rsidRPr="004B40E4" w:rsidRDefault="004B2365" w:rsidP="00CD0962">
            <w:pPr>
              <w:spacing w:before="60"/>
              <w:jc w:val="both"/>
              <w:rPr>
                <w:rFonts w:ascii="Arial" w:hAnsi="Arial" w:cs="Arial"/>
                <w:b/>
                <w:sz w:val="22"/>
                <w:szCs w:val="22"/>
              </w:rPr>
            </w:pPr>
            <w:r w:rsidRPr="004B40E4">
              <w:rPr>
                <w:rFonts w:ascii="Arial" w:hAnsi="Arial" w:cs="Arial"/>
                <w:sz w:val="22"/>
                <w:szCs w:val="22"/>
                <w:lang w:val="en-US"/>
              </w:rPr>
              <w:t xml:space="preserve">Student will carry out some experiments in order to study the influence of nutrition on animal experimental models. They will learn about the experiments meant to detect the induced mutagenic effect.  </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 xml:space="preserve">1-2. </w:t>
            </w:r>
            <w:r w:rsidRPr="004B40E4">
              <w:rPr>
                <w:rFonts w:ascii="Arial" w:hAnsi="Arial" w:cs="Arial"/>
                <w:i/>
                <w:sz w:val="22"/>
                <w:szCs w:val="22"/>
                <w:lang w:val="en-US"/>
              </w:rPr>
              <w:t>Drosophila melanogaster</w:t>
            </w:r>
            <w:r w:rsidRPr="004B40E4">
              <w:rPr>
                <w:rFonts w:ascii="Arial" w:hAnsi="Arial" w:cs="Arial"/>
                <w:sz w:val="22"/>
                <w:szCs w:val="22"/>
                <w:lang w:val="en-US"/>
              </w:rPr>
              <w:t xml:space="preserve"> as a nutritional genetic research model system. </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3-4. Studying plant extracts chromatin organization modifier effects</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 xml:space="preserve">5-6. Evaluation of mutagenic effect using somatic mutation and recombination test. </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 xml:space="preserve">7-8. Evaluation of Keap1/Nrf2/ARE mediated xenobiotic response induced by plant extracts. </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 xml:space="preserve">9-10. Animal models for studying the metabolic syndrome. </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lastRenderedPageBreak/>
              <w:t xml:space="preserve">11-12. Elaboration of a nutritional genetic and genomic research project to study a food prototype. </w:t>
            </w:r>
          </w:p>
          <w:p w:rsidR="004B2365" w:rsidRPr="004B40E4" w:rsidRDefault="004B2365" w:rsidP="00CD0962">
            <w:pPr>
              <w:ind w:left="34"/>
              <w:jc w:val="both"/>
              <w:rPr>
                <w:rFonts w:ascii="Arial" w:hAnsi="Arial" w:cs="Arial"/>
                <w:sz w:val="22"/>
                <w:szCs w:val="22"/>
                <w:lang w:val="en-US"/>
              </w:rPr>
            </w:pPr>
            <w:r w:rsidRPr="004B40E4">
              <w:rPr>
                <w:rFonts w:ascii="Arial" w:hAnsi="Arial" w:cs="Arial"/>
                <w:sz w:val="22"/>
                <w:szCs w:val="22"/>
                <w:lang w:val="en-US"/>
              </w:rPr>
              <w:t>13-14. Product concept presentation and evaluation.</w:t>
            </w:r>
          </w:p>
        </w:tc>
      </w:tr>
      <w:tr w:rsidR="004B2365"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B2365" w:rsidRPr="004B40E4" w:rsidRDefault="004B2365" w:rsidP="00CD0962">
            <w:pPr>
              <w:ind w:right="-108"/>
              <w:rPr>
                <w:rFonts w:ascii="Arial" w:hAnsi="Arial" w:cs="Arial"/>
                <w:b/>
                <w:sz w:val="22"/>
                <w:szCs w:val="22"/>
              </w:rPr>
            </w:pPr>
            <w:proofErr w:type="spellStart"/>
            <w:r w:rsidRPr="004B40E4">
              <w:rPr>
                <w:rFonts w:ascii="Arial" w:hAnsi="Arial" w:cs="Arial"/>
                <w:b/>
                <w:sz w:val="22"/>
                <w:szCs w:val="22"/>
              </w:rPr>
              <w:lastRenderedPageBreak/>
              <w:t>Literature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handbooks</w:t>
            </w:r>
            <w:proofErr w:type="spellEnd"/>
            <w:r w:rsidRPr="004B40E4">
              <w:rPr>
                <w:rFonts w:ascii="Arial" w:hAnsi="Arial" w:cs="Arial"/>
                <w:b/>
                <w:sz w:val="22"/>
                <w:szCs w:val="22"/>
              </w:rPr>
              <w:t xml:space="preserve"> </w:t>
            </w:r>
            <w:proofErr w:type="spellStart"/>
            <w:r w:rsidRPr="004B40E4">
              <w:rPr>
                <w:rFonts w:ascii="Arial" w:hAnsi="Arial" w:cs="Arial"/>
                <w:b/>
                <w:sz w:val="22"/>
                <w:szCs w:val="22"/>
                <w:u w:val="single"/>
              </w:rPr>
              <w:t>in</w:t>
            </w:r>
            <w:proofErr w:type="spellEnd"/>
            <w:r w:rsidRPr="004B40E4">
              <w:rPr>
                <w:rFonts w:ascii="Arial" w:hAnsi="Arial" w:cs="Arial"/>
                <w:b/>
                <w:sz w:val="22"/>
                <w:szCs w:val="22"/>
                <w:u w:val="single"/>
              </w:rPr>
              <w:t xml:space="preserve"> English </w:t>
            </w:r>
          </w:p>
        </w:tc>
      </w:tr>
      <w:tr w:rsidR="004B2365"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Aggarwal</w:t>
            </w:r>
            <w:proofErr w:type="spellEnd"/>
            <w:r w:rsidRPr="004B40E4">
              <w:rPr>
                <w:rFonts w:ascii="Arial" w:hAnsi="Arial" w:cs="Arial"/>
                <w:sz w:val="22"/>
                <w:szCs w:val="22"/>
              </w:rPr>
              <w:t xml:space="preserve">, B.B., </w:t>
            </w:r>
            <w:proofErr w:type="spellStart"/>
            <w:r w:rsidRPr="004B40E4">
              <w:rPr>
                <w:rFonts w:ascii="Arial" w:hAnsi="Arial" w:cs="Arial"/>
                <w:sz w:val="22"/>
                <w:szCs w:val="22"/>
              </w:rPr>
              <w:t>Heber</w:t>
            </w:r>
            <w:proofErr w:type="spellEnd"/>
            <w:r w:rsidRPr="004B40E4">
              <w:rPr>
                <w:rFonts w:ascii="Arial" w:hAnsi="Arial" w:cs="Arial"/>
                <w:sz w:val="22"/>
                <w:szCs w:val="22"/>
              </w:rPr>
              <w:t xml:space="preserve">, D. (2014). </w:t>
            </w:r>
            <w:proofErr w:type="spellStart"/>
            <w:r w:rsidRPr="004B40E4">
              <w:rPr>
                <w:rFonts w:ascii="Arial" w:hAnsi="Arial" w:cs="Arial"/>
                <w:sz w:val="22"/>
                <w:szCs w:val="22"/>
              </w:rPr>
              <w:t>Immunonutrition</w:t>
            </w:r>
            <w:proofErr w:type="spellEnd"/>
            <w:r w:rsidRPr="004B40E4">
              <w:rPr>
                <w:rFonts w:ascii="Arial" w:hAnsi="Arial" w:cs="Arial"/>
                <w:sz w:val="22"/>
                <w:szCs w:val="22"/>
              </w:rPr>
              <w:t xml:space="preserve">: </w:t>
            </w:r>
            <w:proofErr w:type="spellStart"/>
            <w:r w:rsidRPr="004B40E4">
              <w:rPr>
                <w:rFonts w:ascii="Arial" w:hAnsi="Arial" w:cs="Arial"/>
                <w:sz w:val="22"/>
                <w:szCs w:val="22"/>
              </w:rPr>
              <w:t>Interactions</w:t>
            </w:r>
            <w:proofErr w:type="spellEnd"/>
            <w:r w:rsidRPr="004B40E4">
              <w:rPr>
                <w:rFonts w:ascii="Arial" w:hAnsi="Arial" w:cs="Arial"/>
                <w:sz w:val="22"/>
                <w:szCs w:val="22"/>
              </w:rPr>
              <w:t xml:space="preserve"> of </w:t>
            </w:r>
            <w:proofErr w:type="spellStart"/>
            <w:r w:rsidRPr="004B40E4">
              <w:rPr>
                <w:rFonts w:ascii="Arial" w:hAnsi="Arial" w:cs="Arial"/>
                <w:sz w:val="22"/>
                <w:szCs w:val="22"/>
              </w:rPr>
              <w:t>Diet</w:t>
            </w:r>
            <w:proofErr w:type="spellEnd"/>
            <w:r w:rsidRPr="004B40E4">
              <w:rPr>
                <w:rFonts w:ascii="Arial" w:hAnsi="Arial" w:cs="Arial"/>
                <w:sz w:val="22"/>
                <w:szCs w:val="22"/>
              </w:rPr>
              <w:t xml:space="preserve">, </w:t>
            </w:r>
            <w:proofErr w:type="spellStart"/>
            <w:r w:rsidRPr="004B40E4">
              <w:rPr>
                <w:rFonts w:ascii="Arial" w:hAnsi="Arial" w:cs="Arial"/>
                <w:sz w:val="22"/>
                <w:szCs w:val="22"/>
              </w:rPr>
              <w:t>Genetics</w:t>
            </w:r>
            <w:proofErr w:type="spellEnd"/>
            <w:r w:rsidRPr="004B40E4">
              <w:rPr>
                <w:rFonts w:ascii="Arial" w:hAnsi="Arial" w:cs="Arial"/>
                <w:sz w:val="22"/>
                <w:szCs w:val="22"/>
              </w:rPr>
              <w:t xml:space="preserve">, and </w:t>
            </w:r>
            <w:proofErr w:type="spellStart"/>
            <w:r w:rsidRPr="004B40E4">
              <w:rPr>
                <w:rFonts w:ascii="Arial" w:hAnsi="Arial" w:cs="Arial"/>
                <w:sz w:val="22"/>
                <w:szCs w:val="22"/>
              </w:rPr>
              <w:t>Inflammation</w:t>
            </w:r>
            <w:proofErr w:type="spellEnd"/>
            <w:r w:rsidRPr="004B40E4">
              <w:rPr>
                <w:rFonts w:ascii="Arial" w:hAnsi="Arial" w:cs="Arial"/>
                <w:sz w:val="22"/>
                <w:szCs w:val="22"/>
              </w:rPr>
              <w:t>. CRC Press, ISBN: 9781466503854.</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Bidlack</w:t>
            </w:r>
            <w:proofErr w:type="spellEnd"/>
            <w:r w:rsidRPr="004B40E4">
              <w:rPr>
                <w:rFonts w:ascii="Arial" w:hAnsi="Arial" w:cs="Arial"/>
                <w:sz w:val="22"/>
                <w:szCs w:val="22"/>
              </w:rPr>
              <w:t xml:space="preserve">, WR, </w:t>
            </w:r>
            <w:proofErr w:type="spellStart"/>
            <w:r w:rsidRPr="004B40E4">
              <w:rPr>
                <w:rFonts w:ascii="Arial" w:hAnsi="Arial" w:cs="Arial"/>
                <w:sz w:val="22"/>
                <w:szCs w:val="22"/>
              </w:rPr>
              <w:t>Rodrigez</w:t>
            </w:r>
            <w:proofErr w:type="spellEnd"/>
            <w:r w:rsidRPr="004B40E4">
              <w:rPr>
                <w:rFonts w:ascii="Arial" w:hAnsi="Arial" w:cs="Arial"/>
                <w:sz w:val="22"/>
                <w:szCs w:val="22"/>
              </w:rPr>
              <w:t xml:space="preserve">, RL. (2012). </w:t>
            </w:r>
            <w:proofErr w:type="spellStart"/>
            <w:r w:rsidRPr="004B40E4">
              <w:rPr>
                <w:rFonts w:ascii="Arial" w:hAnsi="Arial" w:cs="Arial"/>
                <w:sz w:val="22"/>
                <w:szCs w:val="22"/>
              </w:rPr>
              <w:t>Nutritional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Genomics</w:t>
            </w:r>
            <w:proofErr w:type="spellEnd"/>
            <w:r w:rsidRPr="004B40E4">
              <w:rPr>
                <w:rFonts w:ascii="Arial" w:hAnsi="Arial" w:cs="Arial"/>
                <w:sz w:val="22"/>
                <w:szCs w:val="22"/>
              </w:rPr>
              <w:t xml:space="preserve">. The </w:t>
            </w:r>
            <w:proofErr w:type="spellStart"/>
            <w:r w:rsidRPr="004B40E4">
              <w:rPr>
                <w:rFonts w:ascii="Arial" w:hAnsi="Arial" w:cs="Arial"/>
                <w:sz w:val="22"/>
                <w:szCs w:val="22"/>
              </w:rPr>
              <w:t>impact</w:t>
            </w:r>
            <w:proofErr w:type="spellEnd"/>
            <w:r w:rsidRPr="004B40E4">
              <w:rPr>
                <w:rFonts w:ascii="Arial" w:hAnsi="Arial" w:cs="Arial"/>
                <w:sz w:val="22"/>
                <w:szCs w:val="22"/>
              </w:rPr>
              <w:t xml:space="preserve"> of </w:t>
            </w:r>
            <w:proofErr w:type="spellStart"/>
            <w:r w:rsidRPr="004B40E4">
              <w:rPr>
                <w:rFonts w:ascii="Arial" w:hAnsi="Arial" w:cs="Arial"/>
                <w:sz w:val="22"/>
                <w:szCs w:val="22"/>
              </w:rPr>
              <w:t>dietary</w:t>
            </w:r>
            <w:proofErr w:type="spellEnd"/>
            <w:r w:rsidRPr="004B40E4">
              <w:rPr>
                <w:rFonts w:ascii="Arial" w:hAnsi="Arial" w:cs="Arial"/>
                <w:sz w:val="22"/>
                <w:szCs w:val="22"/>
              </w:rPr>
              <w:t xml:space="preserve"> </w:t>
            </w:r>
            <w:proofErr w:type="spellStart"/>
            <w:r w:rsidRPr="004B40E4">
              <w:rPr>
                <w:rFonts w:ascii="Arial" w:hAnsi="Arial" w:cs="Arial"/>
                <w:sz w:val="22"/>
                <w:szCs w:val="22"/>
              </w:rPr>
              <w:t>regulation</w:t>
            </w:r>
            <w:proofErr w:type="spellEnd"/>
            <w:r w:rsidRPr="004B40E4">
              <w:rPr>
                <w:rFonts w:ascii="Arial" w:hAnsi="Arial" w:cs="Arial"/>
                <w:sz w:val="22"/>
                <w:szCs w:val="22"/>
              </w:rPr>
              <w:t xml:space="preserve"> of </w:t>
            </w:r>
            <w:proofErr w:type="spellStart"/>
            <w:r w:rsidRPr="004B40E4">
              <w:rPr>
                <w:rFonts w:ascii="Arial" w:hAnsi="Arial" w:cs="Arial"/>
                <w:sz w:val="22"/>
                <w:szCs w:val="22"/>
              </w:rPr>
              <w:t>gene</w:t>
            </w:r>
            <w:proofErr w:type="spellEnd"/>
            <w:r w:rsidRPr="004B40E4">
              <w:rPr>
                <w:rFonts w:ascii="Arial" w:hAnsi="Arial" w:cs="Arial"/>
                <w:sz w:val="22"/>
                <w:szCs w:val="22"/>
              </w:rPr>
              <w:t xml:space="preserve"> </w:t>
            </w:r>
            <w:proofErr w:type="spellStart"/>
            <w:r w:rsidRPr="004B40E4">
              <w:rPr>
                <w:rFonts w:ascii="Arial" w:hAnsi="Arial" w:cs="Arial"/>
                <w:sz w:val="22"/>
                <w:szCs w:val="22"/>
              </w:rPr>
              <w:t>function</w:t>
            </w:r>
            <w:proofErr w:type="spellEnd"/>
            <w:r w:rsidRPr="004B40E4">
              <w:rPr>
                <w:rFonts w:ascii="Arial" w:hAnsi="Arial" w:cs="Arial"/>
                <w:sz w:val="22"/>
                <w:szCs w:val="22"/>
              </w:rPr>
              <w:t xml:space="preserve"> </w:t>
            </w:r>
            <w:proofErr w:type="spellStart"/>
            <w:r w:rsidRPr="004B40E4">
              <w:rPr>
                <w:rFonts w:ascii="Arial" w:hAnsi="Arial" w:cs="Arial"/>
                <w:sz w:val="22"/>
                <w:szCs w:val="22"/>
              </w:rPr>
              <w:t>on</w:t>
            </w:r>
            <w:proofErr w:type="spellEnd"/>
            <w:r w:rsidRPr="004B40E4">
              <w:rPr>
                <w:rFonts w:ascii="Arial" w:hAnsi="Arial" w:cs="Arial"/>
                <w:sz w:val="22"/>
                <w:szCs w:val="22"/>
              </w:rPr>
              <w:t xml:space="preserve"> human </w:t>
            </w:r>
            <w:proofErr w:type="spellStart"/>
            <w:r w:rsidRPr="004B40E4">
              <w:rPr>
                <w:rFonts w:ascii="Arial" w:hAnsi="Arial" w:cs="Arial"/>
                <w:sz w:val="22"/>
                <w:szCs w:val="22"/>
              </w:rPr>
              <w:t>disease</w:t>
            </w:r>
            <w:proofErr w:type="spellEnd"/>
            <w:r w:rsidRPr="004B40E4">
              <w:rPr>
                <w:rFonts w:ascii="Arial" w:hAnsi="Arial" w:cs="Arial"/>
                <w:sz w:val="22"/>
                <w:szCs w:val="22"/>
              </w:rPr>
              <w:t xml:space="preserve">. CRC Press, Taylor &amp; Francis Group, </w:t>
            </w:r>
            <w:proofErr w:type="spellStart"/>
            <w:r w:rsidRPr="004B40E4">
              <w:rPr>
                <w:rFonts w:ascii="Arial" w:hAnsi="Arial" w:cs="Arial"/>
                <w:sz w:val="22"/>
                <w:szCs w:val="22"/>
              </w:rPr>
              <w:t>Boca</w:t>
            </w:r>
            <w:proofErr w:type="spellEnd"/>
            <w:r w:rsidRPr="004B40E4">
              <w:rPr>
                <w:rFonts w:ascii="Arial" w:hAnsi="Arial" w:cs="Arial"/>
                <w:sz w:val="22"/>
                <w:szCs w:val="22"/>
              </w:rPr>
              <w:t xml:space="preserve"> </w:t>
            </w:r>
            <w:proofErr w:type="spellStart"/>
            <w:r w:rsidRPr="004B40E4">
              <w:rPr>
                <w:rFonts w:ascii="Arial" w:hAnsi="Arial" w:cs="Arial"/>
                <w:sz w:val="22"/>
                <w:szCs w:val="22"/>
              </w:rPr>
              <w:t>Raton</w:t>
            </w:r>
            <w:proofErr w:type="spellEnd"/>
            <w:r w:rsidRPr="004B40E4">
              <w:rPr>
                <w:rFonts w:ascii="Arial" w:hAnsi="Arial" w:cs="Arial"/>
                <w:sz w:val="22"/>
                <w:szCs w:val="22"/>
              </w:rPr>
              <w:t xml:space="preserve">, London, New York, ISBN: 978-1-4398-4452-6.  </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Brigelius-Flohé</w:t>
            </w:r>
            <w:proofErr w:type="spellEnd"/>
            <w:r w:rsidRPr="004B40E4">
              <w:rPr>
                <w:rFonts w:ascii="Arial" w:hAnsi="Arial" w:cs="Arial"/>
                <w:sz w:val="22"/>
                <w:szCs w:val="22"/>
              </w:rPr>
              <w:t xml:space="preserve"> R and </w:t>
            </w:r>
            <w:proofErr w:type="spellStart"/>
            <w:r w:rsidRPr="004B40E4">
              <w:rPr>
                <w:rFonts w:ascii="Arial" w:hAnsi="Arial" w:cs="Arial"/>
                <w:sz w:val="22"/>
                <w:szCs w:val="22"/>
              </w:rPr>
              <w:t>Joost</w:t>
            </w:r>
            <w:proofErr w:type="spellEnd"/>
            <w:r w:rsidRPr="004B40E4">
              <w:rPr>
                <w:rFonts w:ascii="Arial" w:hAnsi="Arial" w:cs="Arial"/>
                <w:sz w:val="22"/>
                <w:szCs w:val="22"/>
              </w:rPr>
              <w:t xml:space="preserve"> H-G. (2006). </w:t>
            </w:r>
            <w:proofErr w:type="spellStart"/>
            <w:r w:rsidRPr="004B40E4">
              <w:rPr>
                <w:rFonts w:ascii="Arial" w:hAnsi="Arial" w:cs="Arial"/>
                <w:sz w:val="22"/>
                <w:szCs w:val="22"/>
              </w:rPr>
              <w:t>Nutritional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Genomics</w:t>
            </w:r>
            <w:proofErr w:type="spellEnd"/>
            <w:r w:rsidRPr="004B40E4">
              <w:rPr>
                <w:rFonts w:ascii="Arial" w:hAnsi="Arial" w:cs="Arial"/>
                <w:sz w:val="22"/>
                <w:szCs w:val="22"/>
              </w:rPr>
              <w:t xml:space="preserve">. </w:t>
            </w:r>
            <w:proofErr w:type="spellStart"/>
            <w:r w:rsidRPr="004B40E4">
              <w:rPr>
                <w:rFonts w:ascii="Arial" w:hAnsi="Arial" w:cs="Arial"/>
                <w:sz w:val="22"/>
                <w:szCs w:val="22"/>
              </w:rPr>
              <w:t>Impact</w:t>
            </w:r>
            <w:proofErr w:type="spellEnd"/>
            <w:r w:rsidRPr="004B40E4">
              <w:rPr>
                <w:rFonts w:ascii="Arial" w:hAnsi="Arial" w:cs="Arial"/>
                <w:sz w:val="22"/>
                <w:szCs w:val="22"/>
              </w:rPr>
              <w:t xml:space="preserve"> </w:t>
            </w:r>
            <w:proofErr w:type="spellStart"/>
            <w:r w:rsidRPr="004B40E4">
              <w:rPr>
                <w:rFonts w:ascii="Arial" w:hAnsi="Arial" w:cs="Arial"/>
                <w:sz w:val="22"/>
                <w:szCs w:val="22"/>
              </w:rPr>
              <w:t>on</w:t>
            </w:r>
            <w:proofErr w:type="spellEnd"/>
            <w:r w:rsidRPr="004B40E4">
              <w:rPr>
                <w:rFonts w:ascii="Arial" w:hAnsi="Arial" w:cs="Arial"/>
                <w:sz w:val="22"/>
                <w:szCs w:val="22"/>
              </w:rPr>
              <w:t xml:space="preserve"> Health and </w:t>
            </w:r>
            <w:proofErr w:type="spellStart"/>
            <w:r w:rsidRPr="004B40E4">
              <w:rPr>
                <w:rFonts w:ascii="Arial" w:hAnsi="Arial" w:cs="Arial"/>
                <w:sz w:val="22"/>
                <w:szCs w:val="22"/>
              </w:rPr>
              <w:t>Disease</w:t>
            </w:r>
            <w:proofErr w:type="spellEnd"/>
            <w:r w:rsidRPr="004B40E4">
              <w:rPr>
                <w:rFonts w:ascii="Arial" w:hAnsi="Arial" w:cs="Arial"/>
                <w:sz w:val="22"/>
                <w:szCs w:val="22"/>
              </w:rPr>
              <w:t xml:space="preserve">. </w:t>
            </w:r>
            <w:proofErr w:type="spellStart"/>
            <w:r w:rsidRPr="004B40E4">
              <w:rPr>
                <w:rFonts w:ascii="Arial" w:hAnsi="Arial" w:cs="Arial"/>
                <w:sz w:val="22"/>
                <w:szCs w:val="22"/>
              </w:rPr>
              <w:t>Whiley-VCH</w:t>
            </w:r>
            <w:proofErr w:type="spellEnd"/>
            <w:r w:rsidRPr="004B40E4">
              <w:rPr>
                <w:rFonts w:ascii="Arial" w:hAnsi="Arial" w:cs="Arial"/>
                <w:sz w:val="22"/>
                <w:szCs w:val="22"/>
              </w:rPr>
              <w:t xml:space="preserve"> </w:t>
            </w:r>
            <w:proofErr w:type="spellStart"/>
            <w:r w:rsidRPr="004B40E4">
              <w:rPr>
                <w:rFonts w:ascii="Arial" w:hAnsi="Arial" w:cs="Arial"/>
                <w:sz w:val="22"/>
                <w:szCs w:val="22"/>
              </w:rPr>
              <w:t>Verlag</w:t>
            </w:r>
            <w:proofErr w:type="spellEnd"/>
            <w:r w:rsidRPr="004B40E4">
              <w:rPr>
                <w:rFonts w:ascii="Arial" w:hAnsi="Arial" w:cs="Arial"/>
                <w:sz w:val="22"/>
                <w:szCs w:val="22"/>
              </w:rPr>
              <w:t xml:space="preserve"> </w:t>
            </w:r>
            <w:proofErr w:type="spellStart"/>
            <w:r w:rsidRPr="004B40E4">
              <w:rPr>
                <w:rFonts w:ascii="Arial" w:hAnsi="Arial" w:cs="Arial"/>
                <w:sz w:val="22"/>
                <w:szCs w:val="22"/>
              </w:rPr>
              <w:t>GmbH&amp;Co</w:t>
            </w:r>
            <w:proofErr w:type="spellEnd"/>
            <w:r w:rsidRPr="004B40E4">
              <w:rPr>
                <w:rFonts w:ascii="Arial" w:hAnsi="Arial" w:cs="Arial"/>
                <w:sz w:val="22"/>
                <w:szCs w:val="22"/>
              </w:rPr>
              <w:t xml:space="preserve">. </w:t>
            </w:r>
            <w:proofErr w:type="spellStart"/>
            <w:r w:rsidRPr="004B40E4">
              <w:rPr>
                <w:rFonts w:ascii="Arial" w:hAnsi="Arial" w:cs="Arial"/>
                <w:sz w:val="22"/>
                <w:szCs w:val="22"/>
              </w:rPr>
              <w:t>KGaA</w:t>
            </w:r>
            <w:proofErr w:type="spellEnd"/>
            <w:r w:rsidRPr="004B40E4">
              <w:rPr>
                <w:rFonts w:ascii="Arial" w:hAnsi="Arial" w:cs="Arial"/>
                <w:sz w:val="22"/>
                <w:szCs w:val="22"/>
              </w:rPr>
              <w:t xml:space="preserve">. ISBN-10: 3-527-31294-3 </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Graham, G</w:t>
            </w:r>
            <w:proofErr w:type="gramStart"/>
            <w:r w:rsidRPr="004B40E4">
              <w:rPr>
                <w:rFonts w:ascii="Arial" w:hAnsi="Arial" w:cs="Arial"/>
                <w:sz w:val="22"/>
                <w:szCs w:val="22"/>
              </w:rPr>
              <w:t>.,</w:t>
            </w:r>
            <w:proofErr w:type="gramEnd"/>
            <w:r w:rsidRPr="004B40E4">
              <w:rPr>
                <w:rFonts w:ascii="Arial" w:hAnsi="Arial" w:cs="Arial"/>
                <w:sz w:val="22"/>
                <w:szCs w:val="22"/>
              </w:rPr>
              <w:t xml:space="preserve"> </w:t>
            </w:r>
            <w:proofErr w:type="spellStart"/>
            <w:r w:rsidRPr="004B40E4">
              <w:rPr>
                <w:rFonts w:ascii="Arial" w:hAnsi="Arial" w:cs="Arial"/>
                <w:sz w:val="22"/>
                <w:szCs w:val="22"/>
              </w:rPr>
              <w:t>Kesten</w:t>
            </w:r>
            <w:proofErr w:type="spellEnd"/>
            <w:r w:rsidRPr="004B40E4">
              <w:rPr>
                <w:rFonts w:ascii="Arial" w:hAnsi="Arial" w:cs="Arial"/>
                <w:sz w:val="22"/>
                <w:szCs w:val="22"/>
              </w:rPr>
              <w:t xml:space="preserve">, D., </w:t>
            </w:r>
            <w:proofErr w:type="spellStart"/>
            <w:r w:rsidRPr="004B40E4">
              <w:rPr>
                <w:rFonts w:ascii="Arial" w:hAnsi="Arial" w:cs="Arial"/>
                <w:sz w:val="22"/>
                <w:szCs w:val="22"/>
              </w:rPr>
              <w:t>Scherwitz</w:t>
            </w:r>
            <w:proofErr w:type="spellEnd"/>
            <w:r w:rsidRPr="004B40E4">
              <w:rPr>
                <w:rFonts w:ascii="Arial" w:hAnsi="Arial" w:cs="Arial"/>
                <w:sz w:val="22"/>
                <w:szCs w:val="22"/>
              </w:rPr>
              <w:t xml:space="preserve">, L. (2011). </w:t>
            </w:r>
            <w:proofErr w:type="spellStart"/>
            <w:r w:rsidRPr="004B40E4">
              <w:rPr>
                <w:rFonts w:ascii="Arial" w:hAnsi="Arial" w:cs="Arial"/>
                <w:sz w:val="22"/>
                <w:szCs w:val="22"/>
              </w:rPr>
              <w:t>Pottenger's</w:t>
            </w:r>
            <w:proofErr w:type="spellEnd"/>
            <w:r w:rsidRPr="004B40E4">
              <w:rPr>
                <w:rFonts w:ascii="Arial" w:hAnsi="Arial" w:cs="Arial"/>
                <w:sz w:val="22"/>
                <w:szCs w:val="22"/>
              </w:rPr>
              <w:t xml:space="preserve"> </w:t>
            </w:r>
            <w:proofErr w:type="spellStart"/>
            <w:r w:rsidRPr="004B40E4">
              <w:rPr>
                <w:rFonts w:ascii="Arial" w:hAnsi="Arial" w:cs="Arial"/>
                <w:sz w:val="22"/>
                <w:szCs w:val="22"/>
              </w:rPr>
              <w:t>Prophecy</w:t>
            </w:r>
            <w:proofErr w:type="spellEnd"/>
            <w:r w:rsidRPr="004B40E4">
              <w:rPr>
                <w:rFonts w:ascii="Arial" w:hAnsi="Arial" w:cs="Arial"/>
                <w:sz w:val="22"/>
                <w:szCs w:val="22"/>
              </w:rPr>
              <w:t xml:space="preserve">: </w:t>
            </w:r>
            <w:proofErr w:type="spellStart"/>
            <w:r w:rsidRPr="004B40E4">
              <w:rPr>
                <w:rFonts w:ascii="Arial" w:hAnsi="Arial" w:cs="Arial"/>
                <w:sz w:val="22"/>
                <w:szCs w:val="22"/>
              </w:rPr>
              <w:t>How</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Resets</w:t>
            </w:r>
            <w:proofErr w:type="spellEnd"/>
            <w:r w:rsidRPr="004B40E4">
              <w:rPr>
                <w:rFonts w:ascii="Arial" w:hAnsi="Arial" w:cs="Arial"/>
                <w:sz w:val="22"/>
                <w:szCs w:val="22"/>
              </w:rPr>
              <w:t xml:space="preserve"> </w:t>
            </w:r>
            <w:proofErr w:type="spellStart"/>
            <w:r w:rsidRPr="004B40E4">
              <w:rPr>
                <w:rFonts w:ascii="Arial" w:hAnsi="Arial" w:cs="Arial"/>
                <w:sz w:val="22"/>
                <w:szCs w:val="22"/>
              </w:rPr>
              <w:t>Genes</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Wellness </w:t>
            </w:r>
            <w:proofErr w:type="spellStart"/>
            <w:r w:rsidRPr="004B40E4">
              <w:rPr>
                <w:rFonts w:ascii="Arial" w:hAnsi="Arial" w:cs="Arial"/>
                <w:sz w:val="22"/>
                <w:szCs w:val="22"/>
              </w:rPr>
              <w:t>or</w:t>
            </w:r>
            <w:proofErr w:type="spellEnd"/>
            <w:r w:rsidRPr="004B40E4">
              <w:rPr>
                <w:rFonts w:ascii="Arial" w:hAnsi="Arial" w:cs="Arial"/>
                <w:sz w:val="22"/>
                <w:szCs w:val="22"/>
              </w:rPr>
              <w:t xml:space="preserve"> </w:t>
            </w:r>
            <w:proofErr w:type="spellStart"/>
            <w:r w:rsidRPr="004B40E4">
              <w:rPr>
                <w:rFonts w:ascii="Arial" w:hAnsi="Arial" w:cs="Arial"/>
                <w:sz w:val="22"/>
                <w:szCs w:val="22"/>
              </w:rPr>
              <w:t>Illness</w:t>
            </w:r>
            <w:proofErr w:type="spellEnd"/>
            <w:r w:rsidRPr="004B40E4">
              <w:rPr>
                <w:rFonts w:ascii="Arial" w:hAnsi="Arial" w:cs="Arial"/>
                <w:sz w:val="22"/>
                <w:szCs w:val="22"/>
              </w:rPr>
              <w:t>. ISBN: 978-1-935052.</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Kohlmeier</w:t>
            </w:r>
            <w:proofErr w:type="spellEnd"/>
            <w:r w:rsidRPr="004B40E4">
              <w:rPr>
                <w:rFonts w:ascii="Arial" w:hAnsi="Arial" w:cs="Arial"/>
                <w:sz w:val="22"/>
                <w:szCs w:val="22"/>
              </w:rPr>
              <w:t xml:space="preserve">, M. (2012). </w:t>
            </w:r>
            <w:proofErr w:type="spellStart"/>
            <w:r w:rsidRPr="004B40E4">
              <w:rPr>
                <w:rFonts w:ascii="Arial" w:hAnsi="Arial" w:cs="Arial"/>
                <w:sz w:val="22"/>
                <w:szCs w:val="22"/>
              </w:rPr>
              <w:t>Nutrigenetics</w:t>
            </w:r>
            <w:proofErr w:type="spellEnd"/>
            <w:r w:rsidRPr="004B40E4">
              <w:rPr>
                <w:rFonts w:ascii="Arial" w:hAnsi="Arial" w:cs="Arial"/>
                <w:sz w:val="22"/>
                <w:szCs w:val="22"/>
              </w:rPr>
              <w:t xml:space="preserve"> </w:t>
            </w:r>
            <w:proofErr w:type="spellStart"/>
            <w:r w:rsidRPr="004B40E4">
              <w:rPr>
                <w:rFonts w:ascii="Arial" w:hAnsi="Arial" w:cs="Arial"/>
                <w:sz w:val="22"/>
                <w:szCs w:val="22"/>
              </w:rPr>
              <w:t>Applying</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Science of </w:t>
            </w:r>
            <w:proofErr w:type="spellStart"/>
            <w:r w:rsidRPr="004B40E4">
              <w:rPr>
                <w:rFonts w:ascii="Arial" w:hAnsi="Arial" w:cs="Arial"/>
                <w:sz w:val="22"/>
                <w:szCs w:val="22"/>
              </w:rPr>
              <w:t>Personal</w:t>
            </w:r>
            <w:proofErr w:type="spellEnd"/>
            <w:r w:rsidRPr="004B40E4">
              <w:rPr>
                <w:rFonts w:ascii="Arial" w:hAnsi="Arial" w:cs="Arial"/>
                <w:sz w:val="22"/>
                <w:szCs w:val="22"/>
              </w:rPr>
              <w:t xml:space="preserve"> </w:t>
            </w:r>
            <w:proofErr w:type="spellStart"/>
            <w:r w:rsidRPr="004B40E4">
              <w:rPr>
                <w:rFonts w:ascii="Arial" w:hAnsi="Arial" w:cs="Arial"/>
                <w:sz w:val="22"/>
                <w:szCs w:val="22"/>
              </w:rPr>
              <w:t>Nutrition</w:t>
            </w:r>
            <w:proofErr w:type="spellEnd"/>
            <w:r w:rsidRPr="004B40E4">
              <w:rPr>
                <w:rFonts w:ascii="Arial" w:hAnsi="Arial" w:cs="Arial"/>
                <w:sz w:val="22"/>
                <w:szCs w:val="22"/>
              </w:rPr>
              <w:t xml:space="preserve">. </w:t>
            </w:r>
            <w:proofErr w:type="spellStart"/>
            <w:r w:rsidRPr="004B40E4">
              <w:rPr>
                <w:rFonts w:ascii="Arial" w:hAnsi="Arial" w:cs="Arial"/>
                <w:sz w:val="22"/>
                <w:szCs w:val="22"/>
              </w:rPr>
              <w:t>Academic</w:t>
            </w:r>
            <w:proofErr w:type="spellEnd"/>
            <w:r w:rsidRPr="004B40E4">
              <w:rPr>
                <w:rFonts w:ascii="Arial" w:hAnsi="Arial" w:cs="Arial"/>
                <w:sz w:val="22"/>
                <w:szCs w:val="22"/>
              </w:rPr>
              <w:t xml:space="preserve"> Press. ISBN: 978-0-12-385900-6</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Lanham-New</w:t>
            </w:r>
            <w:proofErr w:type="spellEnd"/>
            <w:r w:rsidRPr="004B40E4">
              <w:rPr>
                <w:rFonts w:ascii="Arial" w:hAnsi="Arial" w:cs="Arial"/>
                <w:sz w:val="22"/>
                <w:szCs w:val="22"/>
              </w:rPr>
              <w:t>, S</w:t>
            </w:r>
            <w:proofErr w:type="gramStart"/>
            <w:r w:rsidRPr="004B40E4">
              <w:rPr>
                <w:rFonts w:ascii="Arial" w:hAnsi="Arial" w:cs="Arial"/>
                <w:sz w:val="22"/>
                <w:szCs w:val="22"/>
              </w:rPr>
              <w:t>.A</w:t>
            </w:r>
            <w:proofErr w:type="gramEnd"/>
            <w:r w:rsidRPr="004B40E4">
              <w:rPr>
                <w:rFonts w:ascii="Arial" w:hAnsi="Arial" w:cs="Arial"/>
                <w:sz w:val="22"/>
                <w:szCs w:val="22"/>
              </w:rPr>
              <w:t xml:space="preserve">., </w:t>
            </w:r>
            <w:proofErr w:type="spellStart"/>
            <w:r w:rsidRPr="004B40E4">
              <w:rPr>
                <w:rFonts w:ascii="Arial" w:hAnsi="Arial" w:cs="Arial"/>
                <w:sz w:val="22"/>
                <w:szCs w:val="22"/>
              </w:rPr>
              <w:t>Macdonald</w:t>
            </w:r>
            <w:proofErr w:type="spellEnd"/>
            <w:r w:rsidRPr="004B40E4">
              <w:rPr>
                <w:rFonts w:ascii="Arial" w:hAnsi="Arial" w:cs="Arial"/>
                <w:sz w:val="22"/>
                <w:szCs w:val="22"/>
              </w:rPr>
              <w:t xml:space="preserve">, I.A., Roche, H.M. (2010). </w:t>
            </w:r>
            <w:proofErr w:type="spellStart"/>
            <w:r w:rsidRPr="004B40E4">
              <w:rPr>
                <w:rFonts w:ascii="Arial" w:hAnsi="Arial" w:cs="Arial"/>
                <w:sz w:val="22"/>
                <w:szCs w:val="22"/>
              </w:rPr>
              <w:t>Nutrition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Metabolism</w:t>
            </w:r>
            <w:proofErr w:type="spellEnd"/>
            <w:r w:rsidRPr="004B40E4">
              <w:rPr>
                <w:rFonts w:ascii="Arial" w:hAnsi="Arial" w:cs="Arial"/>
                <w:sz w:val="22"/>
                <w:szCs w:val="22"/>
              </w:rPr>
              <w:t xml:space="preserve">, 2nd </w:t>
            </w:r>
            <w:proofErr w:type="spellStart"/>
            <w:r w:rsidRPr="004B40E4">
              <w:rPr>
                <w:rFonts w:ascii="Arial" w:hAnsi="Arial" w:cs="Arial"/>
                <w:sz w:val="22"/>
                <w:szCs w:val="22"/>
              </w:rPr>
              <w:t>Edition</w:t>
            </w:r>
            <w:proofErr w:type="spellEnd"/>
            <w:r w:rsidRPr="004B40E4">
              <w:rPr>
                <w:rFonts w:ascii="Arial" w:hAnsi="Arial" w:cs="Arial"/>
                <w:sz w:val="22"/>
                <w:szCs w:val="22"/>
              </w:rPr>
              <w:t xml:space="preserve">. </w:t>
            </w:r>
            <w:proofErr w:type="spellStart"/>
            <w:r w:rsidRPr="004B40E4">
              <w:rPr>
                <w:rFonts w:ascii="Arial" w:hAnsi="Arial" w:cs="Arial"/>
                <w:sz w:val="22"/>
                <w:szCs w:val="22"/>
              </w:rPr>
              <w:t>Wiley-Blackwell</w:t>
            </w:r>
            <w:proofErr w:type="spellEnd"/>
            <w:r w:rsidRPr="004B40E4">
              <w:rPr>
                <w:rFonts w:ascii="Arial" w:hAnsi="Arial" w:cs="Arial"/>
                <w:sz w:val="22"/>
                <w:szCs w:val="22"/>
              </w:rPr>
              <w:t>. ISBN: 978-1-4051-6808-3</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Shanahan</w:t>
            </w:r>
            <w:proofErr w:type="spellEnd"/>
            <w:r w:rsidRPr="004B40E4">
              <w:rPr>
                <w:rFonts w:ascii="Arial" w:hAnsi="Arial" w:cs="Arial"/>
                <w:sz w:val="22"/>
                <w:szCs w:val="22"/>
              </w:rPr>
              <w:t xml:space="preserve">, C. and </w:t>
            </w:r>
            <w:proofErr w:type="spellStart"/>
            <w:r w:rsidRPr="004B40E4">
              <w:rPr>
                <w:rFonts w:ascii="Arial" w:hAnsi="Arial" w:cs="Arial"/>
                <w:sz w:val="22"/>
                <w:szCs w:val="22"/>
              </w:rPr>
              <w:t>Shanahan</w:t>
            </w:r>
            <w:proofErr w:type="spellEnd"/>
            <w:r w:rsidRPr="004B40E4">
              <w:rPr>
                <w:rFonts w:ascii="Arial" w:hAnsi="Arial" w:cs="Arial"/>
                <w:sz w:val="22"/>
                <w:szCs w:val="22"/>
              </w:rPr>
              <w:t xml:space="preserve">, L. (2008). Deep </w:t>
            </w:r>
            <w:proofErr w:type="spellStart"/>
            <w:r w:rsidRPr="004B40E4">
              <w:rPr>
                <w:rFonts w:ascii="Arial" w:hAnsi="Arial" w:cs="Arial"/>
                <w:sz w:val="22"/>
                <w:szCs w:val="22"/>
              </w:rPr>
              <w:t>Nutrition</w:t>
            </w:r>
            <w:proofErr w:type="spellEnd"/>
            <w:r w:rsidRPr="004B40E4">
              <w:rPr>
                <w:rFonts w:ascii="Arial" w:hAnsi="Arial" w:cs="Arial"/>
                <w:sz w:val="22"/>
                <w:szCs w:val="22"/>
              </w:rPr>
              <w:t xml:space="preserve">: </w:t>
            </w:r>
            <w:proofErr w:type="spellStart"/>
            <w:r w:rsidRPr="004B40E4">
              <w:rPr>
                <w:rFonts w:ascii="Arial" w:hAnsi="Arial" w:cs="Arial"/>
                <w:sz w:val="22"/>
                <w:szCs w:val="22"/>
              </w:rPr>
              <w:t>Why</w:t>
            </w:r>
            <w:proofErr w:type="spellEnd"/>
            <w:r w:rsidRPr="004B40E4">
              <w:rPr>
                <w:rFonts w:ascii="Arial" w:hAnsi="Arial" w:cs="Arial"/>
                <w:sz w:val="22"/>
                <w:szCs w:val="22"/>
              </w:rPr>
              <w:t xml:space="preserve"> </w:t>
            </w:r>
            <w:proofErr w:type="spellStart"/>
            <w:r w:rsidRPr="004B40E4">
              <w:rPr>
                <w:rFonts w:ascii="Arial" w:hAnsi="Arial" w:cs="Arial"/>
                <w:sz w:val="22"/>
                <w:szCs w:val="22"/>
              </w:rPr>
              <w:t>Your</w:t>
            </w:r>
            <w:proofErr w:type="spellEnd"/>
            <w:r w:rsidRPr="004B40E4">
              <w:rPr>
                <w:rFonts w:ascii="Arial" w:hAnsi="Arial" w:cs="Arial"/>
                <w:sz w:val="22"/>
                <w:szCs w:val="22"/>
              </w:rPr>
              <w:t xml:space="preserve"> </w:t>
            </w:r>
            <w:proofErr w:type="spellStart"/>
            <w:r w:rsidRPr="004B40E4">
              <w:rPr>
                <w:rFonts w:ascii="Arial" w:hAnsi="Arial" w:cs="Arial"/>
                <w:sz w:val="22"/>
                <w:szCs w:val="22"/>
              </w:rPr>
              <w:t>Genes</w:t>
            </w:r>
            <w:proofErr w:type="spellEnd"/>
            <w:r w:rsidRPr="004B40E4">
              <w:rPr>
                <w:rFonts w:ascii="Arial" w:hAnsi="Arial" w:cs="Arial"/>
                <w:sz w:val="22"/>
                <w:szCs w:val="22"/>
              </w:rPr>
              <w:t xml:space="preserve"> </w:t>
            </w:r>
            <w:proofErr w:type="spellStart"/>
            <w:r w:rsidRPr="004B40E4">
              <w:rPr>
                <w:rFonts w:ascii="Arial" w:hAnsi="Arial" w:cs="Arial"/>
                <w:sz w:val="22"/>
                <w:szCs w:val="22"/>
              </w:rPr>
              <w:t>Need</w:t>
            </w:r>
            <w:proofErr w:type="spellEnd"/>
            <w:r w:rsidRPr="004B40E4">
              <w:rPr>
                <w:rFonts w:ascii="Arial" w:hAnsi="Arial" w:cs="Arial"/>
                <w:sz w:val="22"/>
                <w:szCs w:val="22"/>
              </w:rPr>
              <w:t xml:space="preserve"> </w:t>
            </w:r>
            <w:proofErr w:type="spellStart"/>
            <w:r w:rsidRPr="004B40E4">
              <w:rPr>
                <w:rFonts w:ascii="Arial" w:hAnsi="Arial" w:cs="Arial"/>
                <w:sz w:val="22"/>
                <w:szCs w:val="22"/>
              </w:rPr>
              <w:t>Traditional</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ISBN-10: 0-615-22838-0.</w:t>
            </w:r>
          </w:p>
          <w:p w:rsidR="004B2365" w:rsidRPr="004B40E4" w:rsidRDefault="004B2365" w:rsidP="00CD0962">
            <w:pPr>
              <w:ind w:left="357" w:hanging="180"/>
              <w:jc w:val="both"/>
              <w:rPr>
                <w:rFonts w:ascii="Arial" w:hAnsi="Arial" w:cs="Arial"/>
                <w:sz w:val="22"/>
                <w:szCs w:val="22"/>
              </w:rPr>
            </w:pPr>
            <w:r w:rsidRPr="004B40E4">
              <w:rPr>
                <w:rFonts w:ascii="Arial" w:hAnsi="Arial" w:cs="Arial"/>
                <w:sz w:val="22"/>
                <w:szCs w:val="22"/>
              </w:rPr>
              <w:t xml:space="preserve">• PUBMED </w:t>
            </w:r>
            <w:proofErr w:type="spellStart"/>
            <w:r w:rsidRPr="004B40E4">
              <w:rPr>
                <w:rFonts w:ascii="Arial" w:hAnsi="Arial" w:cs="Arial"/>
                <w:sz w:val="22"/>
                <w:szCs w:val="22"/>
              </w:rPr>
              <w:t>database</w:t>
            </w:r>
            <w:proofErr w:type="spellEnd"/>
            <w:r w:rsidRPr="004B40E4">
              <w:rPr>
                <w:rFonts w:ascii="Arial" w:hAnsi="Arial" w:cs="Arial"/>
                <w:sz w:val="22"/>
                <w:szCs w:val="22"/>
              </w:rPr>
              <w:t xml:space="preserve"> /</w:t>
            </w:r>
            <w:proofErr w:type="spellStart"/>
            <w:r w:rsidRPr="004B40E4">
              <w:rPr>
                <w:rFonts w:ascii="Arial" w:hAnsi="Arial" w:cs="Arial"/>
                <w:sz w:val="22"/>
                <w:szCs w:val="22"/>
              </w:rPr>
              <w:t>Books</w:t>
            </w:r>
            <w:proofErr w:type="spellEnd"/>
            <w:r w:rsidRPr="004B40E4">
              <w:rPr>
                <w:rFonts w:ascii="Arial" w:hAnsi="Arial" w:cs="Arial"/>
                <w:sz w:val="22"/>
                <w:szCs w:val="22"/>
              </w:rPr>
              <w:t>:</w:t>
            </w:r>
          </w:p>
          <w:p w:rsidR="004B2365" w:rsidRPr="004B40E4" w:rsidRDefault="004B2365" w:rsidP="00CD0962">
            <w:pPr>
              <w:ind w:left="537" w:hanging="9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Pagon</w:t>
            </w:r>
            <w:proofErr w:type="spellEnd"/>
            <w:r w:rsidRPr="004B40E4">
              <w:rPr>
                <w:rFonts w:ascii="Arial" w:hAnsi="Arial" w:cs="Arial"/>
                <w:sz w:val="22"/>
                <w:szCs w:val="22"/>
              </w:rPr>
              <w:t xml:space="preserve"> RA, Adam MP, </w:t>
            </w:r>
            <w:proofErr w:type="spellStart"/>
            <w:r w:rsidRPr="004B40E4">
              <w:rPr>
                <w:rFonts w:ascii="Arial" w:hAnsi="Arial" w:cs="Arial"/>
                <w:sz w:val="22"/>
                <w:szCs w:val="22"/>
              </w:rPr>
              <w:t>Ardinger</w:t>
            </w:r>
            <w:proofErr w:type="spellEnd"/>
            <w:r w:rsidRPr="004B40E4">
              <w:rPr>
                <w:rFonts w:ascii="Arial" w:hAnsi="Arial" w:cs="Arial"/>
                <w:sz w:val="22"/>
                <w:szCs w:val="22"/>
              </w:rPr>
              <w:t xml:space="preserve"> HH, et </w:t>
            </w:r>
            <w:proofErr w:type="spellStart"/>
            <w:r w:rsidRPr="004B40E4">
              <w:rPr>
                <w:rFonts w:ascii="Arial" w:hAnsi="Arial" w:cs="Arial"/>
                <w:sz w:val="22"/>
                <w:szCs w:val="22"/>
              </w:rPr>
              <w:t>al</w:t>
            </w:r>
            <w:proofErr w:type="spellEnd"/>
            <w:proofErr w:type="gramStart"/>
            <w:r w:rsidRPr="004B40E4">
              <w:rPr>
                <w:rFonts w:ascii="Arial" w:hAnsi="Arial" w:cs="Arial"/>
                <w:sz w:val="22"/>
                <w:szCs w:val="22"/>
              </w:rPr>
              <w:t>.,</w:t>
            </w:r>
            <w:proofErr w:type="gramEnd"/>
            <w:r w:rsidRPr="004B40E4">
              <w:rPr>
                <w:rFonts w:ascii="Arial" w:hAnsi="Arial" w:cs="Arial"/>
                <w:sz w:val="22"/>
                <w:szCs w:val="22"/>
              </w:rPr>
              <w:t xml:space="preserve"> </w:t>
            </w:r>
            <w:proofErr w:type="spellStart"/>
            <w:r w:rsidRPr="004B40E4">
              <w:rPr>
                <w:rFonts w:ascii="Arial" w:hAnsi="Arial" w:cs="Arial"/>
                <w:sz w:val="22"/>
                <w:szCs w:val="22"/>
              </w:rPr>
              <w:t>editors</w:t>
            </w:r>
            <w:proofErr w:type="spellEnd"/>
            <w:r w:rsidRPr="004B40E4">
              <w:rPr>
                <w:rFonts w:ascii="Arial" w:hAnsi="Arial" w:cs="Arial"/>
                <w:sz w:val="22"/>
                <w:szCs w:val="22"/>
              </w:rPr>
              <w:t xml:space="preserve">. (1993-2014). </w:t>
            </w:r>
            <w:proofErr w:type="spellStart"/>
            <w:r w:rsidRPr="004B40E4">
              <w:rPr>
                <w:rFonts w:ascii="Arial" w:hAnsi="Arial" w:cs="Arial"/>
                <w:sz w:val="22"/>
                <w:szCs w:val="22"/>
              </w:rPr>
              <w:t>GeneReviews</w:t>
            </w:r>
            <w:proofErr w:type="spellEnd"/>
            <w:r w:rsidRPr="004B40E4">
              <w:rPr>
                <w:rFonts w:ascii="Arial" w:hAnsi="Arial" w:cs="Arial"/>
                <w:sz w:val="22"/>
                <w:szCs w:val="22"/>
              </w:rPr>
              <w:t>® [Internet]. Seattle (WA): University of Washington, Seattle; 1993-2014.</w:t>
            </w:r>
          </w:p>
          <w:p w:rsidR="004B2365" w:rsidRPr="004B40E4" w:rsidRDefault="004B2365" w:rsidP="00CD0962">
            <w:pPr>
              <w:ind w:left="537" w:hanging="9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Making</w:t>
            </w:r>
            <w:proofErr w:type="spellEnd"/>
            <w:r w:rsidRPr="004B40E4">
              <w:rPr>
                <w:rFonts w:ascii="Arial" w:hAnsi="Arial" w:cs="Arial"/>
                <w:sz w:val="22"/>
                <w:szCs w:val="22"/>
              </w:rPr>
              <w:t xml:space="preserve"> </w:t>
            </w:r>
            <w:proofErr w:type="spellStart"/>
            <w:r w:rsidRPr="004B40E4">
              <w:rPr>
                <w:rFonts w:ascii="Arial" w:hAnsi="Arial" w:cs="Arial"/>
                <w:sz w:val="22"/>
                <w:szCs w:val="22"/>
              </w:rPr>
              <w:t>Sense</w:t>
            </w:r>
            <w:proofErr w:type="spellEnd"/>
            <w:r w:rsidRPr="004B40E4">
              <w:rPr>
                <w:rFonts w:ascii="Arial" w:hAnsi="Arial" w:cs="Arial"/>
                <w:sz w:val="22"/>
                <w:szCs w:val="22"/>
              </w:rPr>
              <w:t xml:space="preserve"> of </w:t>
            </w:r>
            <w:proofErr w:type="spellStart"/>
            <w:r w:rsidRPr="004B40E4">
              <w:rPr>
                <w:rFonts w:ascii="Arial" w:hAnsi="Arial" w:cs="Arial"/>
                <w:sz w:val="22"/>
                <w:szCs w:val="22"/>
              </w:rPr>
              <w:t>Your</w:t>
            </w:r>
            <w:proofErr w:type="spellEnd"/>
            <w:r w:rsidRPr="004B40E4">
              <w:rPr>
                <w:rFonts w:ascii="Arial" w:hAnsi="Arial" w:cs="Arial"/>
                <w:sz w:val="22"/>
                <w:szCs w:val="22"/>
              </w:rPr>
              <w:t xml:space="preserve"> </w:t>
            </w:r>
            <w:proofErr w:type="spellStart"/>
            <w:r w:rsidRPr="004B40E4">
              <w:rPr>
                <w:rFonts w:ascii="Arial" w:hAnsi="Arial" w:cs="Arial"/>
                <w:sz w:val="22"/>
                <w:szCs w:val="22"/>
              </w:rPr>
              <w:t>Genes</w:t>
            </w:r>
            <w:proofErr w:type="spellEnd"/>
            <w:r w:rsidRPr="004B40E4">
              <w:rPr>
                <w:rFonts w:ascii="Arial" w:hAnsi="Arial" w:cs="Arial"/>
                <w:sz w:val="22"/>
                <w:szCs w:val="22"/>
              </w:rPr>
              <w:t xml:space="preserve">: A </w:t>
            </w:r>
            <w:proofErr w:type="spellStart"/>
            <w:r w:rsidRPr="004B40E4">
              <w:rPr>
                <w:rFonts w:ascii="Arial" w:hAnsi="Arial" w:cs="Arial"/>
                <w:sz w:val="22"/>
                <w:szCs w:val="22"/>
              </w:rPr>
              <w:t>Guide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Genetic</w:t>
            </w:r>
            <w:proofErr w:type="spellEnd"/>
            <w:r w:rsidRPr="004B40E4">
              <w:rPr>
                <w:rFonts w:ascii="Arial" w:hAnsi="Arial" w:cs="Arial"/>
                <w:sz w:val="22"/>
                <w:szCs w:val="22"/>
              </w:rPr>
              <w:t xml:space="preserve"> </w:t>
            </w:r>
            <w:proofErr w:type="spellStart"/>
            <w:r w:rsidRPr="004B40E4">
              <w:rPr>
                <w:rFonts w:ascii="Arial" w:hAnsi="Arial" w:cs="Arial"/>
                <w:sz w:val="22"/>
                <w:szCs w:val="22"/>
              </w:rPr>
              <w:t>Counselling</w:t>
            </w:r>
            <w:proofErr w:type="spellEnd"/>
            <w:r w:rsidRPr="004B40E4">
              <w:rPr>
                <w:rFonts w:ascii="Arial" w:hAnsi="Arial" w:cs="Arial"/>
                <w:sz w:val="22"/>
                <w:szCs w:val="22"/>
              </w:rPr>
              <w:t xml:space="preserve">. National Society of </w:t>
            </w:r>
            <w:proofErr w:type="spellStart"/>
            <w:r w:rsidRPr="004B40E4">
              <w:rPr>
                <w:rFonts w:ascii="Arial" w:hAnsi="Arial" w:cs="Arial"/>
                <w:sz w:val="22"/>
                <w:szCs w:val="22"/>
              </w:rPr>
              <w:t>Genetic</w:t>
            </w:r>
            <w:proofErr w:type="spellEnd"/>
            <w:r w:rsidRPr="004B40E4">
              <w:rPr>
                <w:rFonts w:ascii="Arial" w:hAnsi="Arial" w:cs="Arial"/>
                <w:sz w:val="22"/>
                <w:szCs w:val="22"/>
              </w:rPr>
              <w:t xml:space="preserve"> </w:t>
            </w:r>
            <w:proofErr w:type="spellStart"/>
            <w:r w:rsidRPr="004B40E4">
              <w:rPr>
                <w:rFonts w:ascii="Arial" w:hAnsi="Arial" w:cs="Arial"/>
                <w:sz w:val="22"/>
                <w:szCs w:val="22"/>
              </w:rPr>
              <w:t>Counselors</w:t>
            </w:r>
            <w:proofErr w:type="spellEnd"/>
            <w:r w:rsidRPr="004B40E4">
              <w:rPr>
                <w:rFonts w:ascii="Arial" w:hAnsi="Arial" w:cs="Arial"/>
                <w:sz w:val="22"/>
                <w:szCs w:val="22"/>
              </w:rPr>
              <w:t xml:space="preserve">; </w:t>
            </w:r>
            <w:proofErr w:type="spellStart"/>
            <w:r w:rsidRPr="004B40E4">
              <w:rPr>
                <w:rFonts w:ascii="Arial" w:hAnsi="Arial" w:cs="Arial"/>
                <w:sz w:val="22"/>
                <w:szCs w:val="22"/>
              </w:rPr>
              <w:t>Genetic</w:t>
            </w:r>
            <w:proofErr w:type="spellEnd"/>
            <w:r w:rsidRPr="004B40E4">
              <w:rPr>
                <w:rFonts w:ascii="Arial" w:hAnsi="Arial" w:cs="Arial"/>
                <w:sz w:val="22"/>
                <w:szCs w:val="22"/>
              </w:rPr>
              <w:t xml:space="preserve"> </w:t>
            </w:r>
            <w:proofErr w:type="spellStart"/>
            <w:r w:rsidRPr="004B40E4">
              <w:rPr>
                <w:rFonts w:ascii="Arial" w:hAnsi="Arial" w:cs="Arial"/>
                <w:sz w:val="22"/>
                <w:szCs w:val="22"/>
              </w:rPr>
              <w:t>Alliance</w:t>
            </w:r>
            <w:proofErr w:type="spellEnd"/>
            <w:r w:rsidRPr="004B40E4">
              <w:rPr>
                <w:rFonts w:ascii="Arial" w:hAnsi="Arial" w:cs="Arial"/>
                <w:sz w:val="22"/>
                <w:szCs w:val="22"/>
              </w:rPr>
              <w:t xml:space="preserve">. Washington (DC): </w:t>
            </w:r>
            <w:proofErr w:type="spellStart"/>
            <w:r w:rsidRPr="004B40E4">
              <w:rPr>
                <w:rFonts w:ascii="Arial" w:hAnsi="Arial" w:cs="Arial"/>
                <w:sz w:val="22"/>
                <w:szCs w:val="22"/>
              </w:rPr>
              <w:t>Genetic</w:t>
            </w:r>
            <w:proofErr w:type="spellEnd"/>
            <w:r w:rsidRPr="004B40E4">
              <w:rPr>
                <w:rFonts w:ascii="Arial" w:hAnsi="Arial" w:cs="Arial"/>
                <w:sz w:val="22"/>
                <w:szCs w:val="22"/>
              </w:rPr>
              <w:t xml:space="preserve"> </w:t>
            </w:r>
            <w:proofErr w:type="spellStart"/>
            <w:r w:rsidRPr="004B40E4">
              <w:rPr>
                <w:rFonts w:ascii="Arial" w:hAnsi="Arial" w:cs="Arial"/>
                <w:sz w:val="22"/>
                <w:szCs w:val="22"/>
              </w:rPr>
              <w:t>Alliance</w:t>
            </w:r>
            <w:proofErr w:type="spellEnd"/>
            <w:r w:rsidRPr="004B40E4">
              <w:rPr>
                <w:rFonts w:ascii="Arial" w:hAnsi="Arial" w:cs="Arial"/>
                <w:sz w:val="22"/>
                <w:szCs w:val="22"/>
              </w:rPr>
              <w:t>; 2008.</w:t>
            </w:r>
          </w:p>
          <w:p w:rsidR="004B2365" w:rsidRPr="004B40E4" w:rsidRDefault="004B2365" w:rsidP="00CD0962">
            <w:pPr>
              <w:ind w:left="537" w:hanging="90"/>
              <w:jc w:val="both"/>
              <w:rPr>
                <w:rFonts w:ascii="Arial" w:hAnsi="Arial" w:cs="Arial"/>
                <w:sz w:val="22"/>
                <w:szCs w:val="22"/>
              </w:rPr>
            </w:pPr>
            <w:r w:rsidRPr="004B40E4">
              <w:rPr>
                <w:rFonts w:ascii="Arial" w:hAnsi="Arial" w:cs="Arial"/>
                <w:sz w:val="22"/>
                <w:szCs w:val="22"/>
              </w:rPr>
              <w:t xml:space="preserve">- </w:t>
            </w:r>
            <w:proofErr w:type="spellStart"/>
            <w:r w:rsidRPr="004B40E4">
              <w:rPr>
                <w:rFonts w:ascii="Arial" w:hAnsi="Arial" w:cs="Arial"/>
                <w:sz w:val="22"/>
                <w:szCs w:val="22"/>
              </w:rPr>
              <w:t>Integrating</w:t>
            </w:r>
            <w:proofErr w:type="spellEnd"/>
            <w:r w:rsidRPr="004B40E4">
              <w:rPr>
                <w:rFonts w:ascii="Arial" w:hAnsi="Arial" w:cs="Arial"/>
                <w:sz w:val="22"/>
                <w:szCs w:val="22"/>
              </w:rPr>
              <w:t xml:space="preserve"> </w:t>
            </w:r>
            <w:proofErr w:type="spellStart"/>
            <w:r w:rsidRPr="004B40E4">
              <w:rPr>
                <w:rFonts w:ascii="Arial" w:hAnsi="Arial" w:cs="Arial"/>
                <w:sz w:val="22"/>
                <w:szCs w:val="22"/>
              </w:rPr>
              <w:t>Large-Scale</w:t>
            </w:r>
            <w:proofErr w:type="spellEnd"/>
            <w:r w:rsidRPr="004B40E4">
              <w:rPr>
                <w:rFonts w:ascii="Arial" w:hAnsi="Arial" w:cs="Arial"/>
                <w:sz w:val="22"/>
                <w:szCs w:val="22"/>
              </w:rPr>
              <w:t xml:space="preserve"> </w:t>
            </w:r>
            <w:proofErr w:type="spellStart"/>
            <w:r w:rsidRPr="004B40E4">
              <w:rPr>
                <w:rFonts w:ascii="Arial" w:hAnsi="Arial" w:cs="Arial"/>
                <w:sz w:val="22"/>
                <w:szCs w:val="22"/>
              </w:rPr>
              <w:t>Genomic</w:t>
            </w:r>
            <w:proofErr w:type="spellEnd"/>
            <w:r w:rsidRPr="004B40E4">
              <w:rPr>
                <w:rFonts w:ascii="Arial" w:hAnsi="Arial" w:cs="Arial"/>
                <w:sz w:val="22"/>
                <w:szCs w:val="22"/>
              </w:rPr>
              <w:t xml:space="preserve"> </w:t>
            </w:r>
            <w:proofErr w:type="spellStart"/>
            <w:r w:rsidRPr="004B40E4">
              <w:rPr>
                <w:rFonts w:ascii="Arial" w:hAnsi="Arial" w:cs="Arial"/>
                <w:sz w:val="22"/>
                <w:szCs w:val="22"/>
              </w:rPr>
              <w:t>Information</w:t>
            </w:r>
            <w:proofErr w:type="spellEnd"/>
            <w:r w:rsidRPr="004B40E4">
              <w:rPr>
                <w:rFonts w:ascii="Arial" w:hAnsi="Arial" w:cs="Arial"/>
                <w:sz w:val="22"/>
                <w:szCs w:val="22"/>
              </w:rPr>
              <w:t xml:space="preserve"> </w:t>
            </w:r>
            <w:proofErr w:type="spellStart"/>
            <w:r w:rsidRPr="004B40E4">
              <w:rPr>
                <w:rFonts w:ascii="Arial" w:hAnsi="Arial" w:cs="Arial"/>
                <w:sz w:val="22"/>
                <w:szCs w:val="22"/>
              </w:rPr>
              <w:t>into</w:t>
            </w:r>
            <w:proofErr w:type="spellEnd"/>
            <w:r w:rsidRPr="004B40E4">
              <w:rPr>
                <w:rFonts w:ascii="Arial" w:hAnsi="Arial" w:cs="Arial"/>
                <w:sz w:val="22"/>
                <w:szCs w:val="22"/>
              </w:rPr>
              <w:t xml:space="preserve"> </w:t>
            </w:r>
            <w:proofErr w:type="spellStart"/>
            <w:r w:rsidRPr="004B40E4">
              <w:rPr>
                <w:rFonts w:ascii="Arial" w:hAnsi="Arial" w:cs="Arial"/>
                <w:sz w:val="22"/>
                <w:szCs w:val="22"/>
              </w:rPr>
              <w:t>Clinical</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w:t>
            </w:r>
            <w:proofErr w:type="spellStart"/>
            <w:r w:rsidRPr="004B40E4">
              <w:rPr>
                <w:rFonts w:ascii="Arial" w:hAnsi="Arial" w:cs="Arial"/>
                <w:sz w:val="22"/>
                <w:szCs w:val="22"/>
              </w:rPr>
              <w:t>Workshop</w:t>
            </w:r>
            <w:proofErr w:type="spellEnd"/>
            <w:r w:rsidRPr="004B40E4">
              <w:rPr>
                <w:rFonts w:ascii="Arial" w:hAnsi="Arial" w:cs="Arial"/>
                <w:sz w:val="22"/>
                <w:szCs w:val="22"/>
              </w:rPr>
              <w:t xml:space="preserve"> </w:t>
            </w:r>
            <w:proofErr w:type="spellStart"/>
            <w:r w:rsidRPr="004B40E4">
              <w:rPr>
                <w:rFonts w:ascii="Arial" w:hAnsi="Arial" w:cs="Arial"/>
                <w:sz w:val="22"/>
                <w:szCs w:val="22"/>
              </w:rPr>
              <w:t>Summary</w:t>
            </w:r>
            <w:proofErr w:type="spellEnd"/>
            <w:r w:rsidRPr="004B40E4">
              <w:rPr>
                <w:rFonts w:ascii="Arial" w:hAnsi="Arial" w:cs="Arial"/>
                <w:sz w:val="22"/>
                <w:szCs w:val="22"/>
              </w:rPr>
              <w:t xml:space="preserve">. Institute of </w:t>
            </w:r>
            <w:proofErr w:type="spellStart"/>
            <w:r w:rsidRPr="004B40E4">
              <w:rPr>
                <w:rFonts w:ascii="Arial" w:hAnsi="Arial" w:cs="Arial"/>
                <w:sz w:val="22"/>
                <w:szCs w:val="22"/>
              </w:rPr>
              <w:t>Medicine</w:t>
            </w:r>
            <w:proofErr w:type="spellEnd"/>
            <w:r w:rsidRPr="004B40E4">
              <w:rPr>
                <w:rFonts w:ascii="Arial" w:hAnsi="Arial" w:cs="Arial"/>
                <w:sz w:val="22"/>
                <w:szCs w:val="22"/>
              </w:rPr>
              <w:t xml:space="preserve"> (US). Washington (DC): National </w:t>
            </w:r>
            <w:proofErr w:type="spellStart"/>
            <w:r w:rsidRPr="004B40E4">
              <w:rPr>
                <w:rFonts w:ascii="Arial" w:hAnsi="Arial" w:cs="Arial"/>
                <w:sz w:val="22"/>
                <w:szCs w:val="22"/>
              </w:rPr>
              <w:t>Academies</w:t>
            </w:r>
            <w:proofErr w:type="spellEnd"/>
            <w:r w:rsidRPr="004B40E4">
              <w:rPr>
                <w:rFonts w:ascii="Arial" w:hAnsi="Arial" w:cs="Arial"/>
                <w:sz w:val="22"/>
                <w:szCs w:val="22"/>
              </w:rPr>
              <w:t xml:space="preserve"> Press (US); 2012.</w:t>
            </w:r>
          </w:p>
          <w:p w:rsidR="004B2365" w:rsidRPr="004B40E4" w:rsidRDefault="004B2365" w:rsidP="00CD0962">
            <w:pPr>
              <w:ind w:left="537" w:hanging="90"/>
              <w:jc w:val="both"/>
              <w:rPr>
                <w:rFonts w:ascii="Arial" w:hAnsi="Arial" w:cs="Arial"/>
                <w:sz w:val="22"/>
                <w:szCs w:val="22"/>
                <w:lang w:val="en-US"/>
              </w:rPr>
            </w:pPr>
            <w:r w:rsidRPr="004B40E4">
              <w:rPr>
                <w:rFonts w:ascii="Arial" w:hAnsi="Arial" w:cs="Arial"/>
                <w:sz w:val="22"/>
                <w:szCs w:val="22"/>
              </w:rPr>
              <w:t xml:space="preserve">- </w:t>
            </w:r>
            <w:proofErr w:type="spellStart"/>
            <w:r w:rsidRPr="004B40E4">
              <w:rPr>
                <w:rFonts w:ascii="Arial" w:hAnsi="Arial" w:cs="Arial"/>
                <w:sz w:val="22"/>
                <w:szCs w:val="22"/>
              </w:rPr>
              <w:t>Benzie</w:t>
            </w:r>
            <w:proofErr w:type="spellEnd"/>
            <w:r w:rsidRPr="004B40E4">
              <w:rPr>
                <w:rFonts w:ascii="Arial" w:hAnsi="Arial" w:cs="Arial"/>
                <w:sz w:val="22"/>
                <w:szCs w:val="22"/>
              </w:rPr>
              <w:t xml:space="preserve"> I.F</w:t>
            </w:r>
            <w:proofErr w:type="gramStart"/>
            <w:r w:rsidRPr="004B40E4">
              <w:rPr>
                <w:rFonts w:ascii="Arial" w:hAnsi="Arial" w:cs="Arial"/>
                <w:sz w:val="22"/>
                <w:szCs w:val="22"/>
              </w:rPr>
              <w:t>.F</w:t>
            </w:r>
            <w:proofErr w:type="gramEnd"/>
            <w:r w:rsidRPr="004B40E4">
              <w:rPr>
                <w:rFonts w:ascii="Arial" w:hAnsi="Arial" w:cs="Arial"/>
                <w:sz w:val="22"/>
                <w:szCs w:val="22"/>
              </w:rPr>
              <w:t xml:space="preserve">. and </w:t>
            </w:r>
            <w:proofErr w:type="spellStart"/>
            <w:r w:rsidRPr="004B40E4">
              <w:rPr>
                <w:rFonts w:ascii="Arial" w:hAnsi="Arial" w:cs="Arial"/>
                <w:sz w:val="22"/>
                <w:szCs w:val="22"/>
              </w:rPr>
              <w:t>Wachtel-Galor</w:t>
            </w:r>
            <w:proofErr w:type="spellEnd"/>
            <w:r w:rsidRPr="004B40E4">
              <w:rPr>
                <w:rFonts w:ascii="Arial" w:hAnsi="Arial" w:cs="Arial"/>
                <w:sz w:val="22"/>
                <w:szCs w:val="22"/>
              </w:rPr>
              <w:t xml:space="preserve">, S. (2011). </w:t>
            </w:r>
            <w:proofErr w:type="spellStart"/>
            <w:r w:rsidRPr="004B40E4">
              <w:rPr>
                <w:rFonts w:ascii="Arial" w:hAnsi="Arial" w:cs="Arial"/>
                <w:sz w:val="22"/>
                <w:szCs w:val="22"/>
              </w:rPr>
              <w:t>Herbal</w:t>
            </w:r>
            <w:proofErr w:type="spellEnd"/>
            <w:r w:rsidRPr="004B40E4">
              <w:rPr>
                <w:rFonts w:ascii="Arial" w:hAnsi="Arial" w:cs="Arial"/>
                <w:sz w:val="22"/>
                <w:szCs w:val="22"/>
              </w:rPr>
              <w:t xml:space="preserve"> </w:t>
            </w:r>
            <w:proofErr w:type="spellStart"/>
            <w:r w:rsidRPr="004B40E4">
              <w:rPr>
                <w:rFonts w:ascii="Arial" w:hAnsi="Arial" w:cs="Arial"/>
                <w:sz w:val="22"/>
                <w:szCs w:val="22"/>
              </w:rPr>
              <w:t>Medicine</w:t>
            </w:r>
            <w:proofErr w:type="spellEnd"/>
            <w:r w:rsidRPr="004B40E4">
              <w:rPr>
                <w:rFonts w:ascii="Arial" w:hAnsi="Arial" w:cs="Arial"/>
                <w:sz w:val="22"/>
                <w:szCs w:val="22"/>
              </w:rPr>
              <w:t xml:space="preserve">, 2nd </w:t>
            </w:r>
            <w:proofErr w:type="spellStart"/>
            <w:r w:rsidRPr="004B40E4">
              <w:rPr>
                <w:rFonts w:ascii="Arial" w:hAnsi="Arial" w:cs="Arial"/>
                <w:sz w:val="22"/>
                <w:szCs w:val="22"/>
              </w:rPr>
              <w:t>edition</w:t>
            </w:r>
            <w:proofErr w:type="spellEnd"/>
            <w:r w:rsidRPr="004B40E4">
              <w:rPr>
                <w:rFonts w:ascii="Arial" w:hAnsi="Arial" w:cs="Arial"/>
                <w:sz w:val="22"/>
                <w:szCs w:val="22"/>
              </w:rPr>
              <w:t>. CRC Press; ISBN-13: 978-1-4398-0713-2</w:t>
            </w:r>
          </w:p>
        </w:tc>
      </w:tr>
      <w:tr w:rsidR="004B2365"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B2365" w:rsidRPr="004B40E4" w:rsidRDefault="004B2365" w:rsidP="00CD0962">
            <w:pPr>
              <w:jc w:val="both"/>
              <w:rPr>
                <w:rFonts w:ascii="Arial" w:hAnsi="Arial" w:cs="Arial"/>
                <w:i/>
                <w:iCs/>
                <w:sz w:val="22"/>
                <w:szCs w:val="22"/>
              </w:rPr>
            </w:pPr>
            <w:proofErr w:type="spellStart"/>
            <w:r w:rsidRPr="004B40E4">
              <w:rPr>
                <w:rFonts w:ascii="Arial" w:hAnsi="Arial" w:cs="Arial"/>
                <w:b/>
                <w:sz w:val="22"/>
                <w:szCs w:val="22"/>
              </w:rPr>
              <w:t>Competencies</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gained</w:t>
            </w:r>
            <w:proofErr w:type="spellEnd"/>
            <w:r w:rsidRPr="004B40E4">
              <w:rPr>
                <w:rFonts w:ascii="Arial" w:hAnsi="Arial" w:cs="Arial"/>
                <w:b/>
                <w:sz w:val="22"/>
                <w:szCs w:val="22"/>
              </w:rPr>
              <w:t xml:space="preserve"> </w:t>
            </w:r>
            <w:r w:rsidRPr="004B40E4">
              <w:rPr>
                <w:rFonts w:ascii="Arial" w:hAnsi="Arial" w:cs="Arial"/>
                <w:i/>
                <w:sz w:val="22"/>
                <w:szCs w:val="22"/>
              </w:rPr>
              <w:t>(</w:t>
            </w:r>
            <w:proofErr w:type="spellStart"/>
            <w:r w:rsidRPr="004B40E4">
              <w:rPr>
                <w:rFonts w:ascii="Arial" w:hAnsi="Arial" w:cs="Arial"/>
                <w:i/>
                <w:sz w:val="22"/>
                <w:szCs w:val="22"/>
              </w:rPr>
              <w:t>acc</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to</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the</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Regulation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training</w:t>
            </w:r>
            <w:proofErr w:type="spellEnd"/>
            <w:r w:rsidRPr="004B40E4">
              <w:rPr>
                <w:rFonts w:ascii="Arial" w:hAnsi="Arial" w:cs="Arial"/>
                <w:i/>
                <w:sz w:val="22"/>
                <w:szCs w:val="22"/>
              </w:rPr>
              <w:t xml:space="preserve"> and </w:t>
            </w:r>
            <w:proofErr w:type="spellStart"/>
            <w:r w:rsidRPr="004B40E4">
              <w:rPr>
                <w:rFonts w:ascii="Arial" w:hAnsi="Arial" w:cs="Arial"/>
                <w:i/>
                <w:sz w:val="22"/>
                <w:szCs w:val="22"/>
              </w:rPr>
              <w:t>outcome</w:t>
            </w:r>
            <w:proofErr w:type="spellEnd"/>
            <w:r w:rsidRPr="004B40E4">
              <w:rPr>
                <w:rFonts w:ascii="Arial" w:hAnsi="Arial" w:cs="Arial"/>
                <w:i/>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p w:rsidR="004B2365" w:rsidRPr="004B40E4" w:rsidRDefault="004B2365" w:rsidP="00CD0962">
            <w:pPr>
              <w:jc w:val="both"/>
              <w:rPr>
                <w:rFonts w:ascii="Arial" w:hAnsi="Arial" w:cs="Arial"/>
                <w:b/>
                <w:color w:val="FF0000"/>
                <w:sz w:val="22"/>
                <w:szCs w:val="22"/>
              </w:rPr>
            </w:pPr>
          </w:p>
        </w:tc>
      </w:tr>
      <w:tr w:rsidR="004B2365"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4B2365">
            <w:pPr>
              <w:widowControl/>
              <w:numPr>
                <w:ilvl w:val="0"/>
                <w:numId w:val="13"/>
              </w:numPr>
              <w:tabs>
                <w:tab w:val="left" w:pos="317"/>
              </w:tabs>
              <w:autoSpaceDN/>
              <w:textAlignment w:val="auto"/>
              <w:rPr>
                <w:rFonts w:ascii="Arial" w:hAnsi="Arial" w:cs="Arial"/>
                <w:b/>
                <w:sz w:val="22"/>
                <w:szCs w:val="22"/>
                <w:lang w:val="en-US"/>
              </w:rPr>
            </w:pPr>
            <w:r w:rsidRPr="004B40E4">
              <w:rPr>
                <w:rFonts w:ascii="Arial" w:hAnsi="Arial" w:cs="Arial"/>
                <w:b/>
                <w:sz w:val="22"/>
                <w:szCs w:val="22"/>
                <w:lang w:val="en-US"/>
              </w:rPr>
              <w:t>Knowledge:</w:t>
            </w:r>
          </w:p>
          <w:p w:rsidR="004B2365" w:rsidRPr="004B40E4" w:rsidRDefault="004B2365" w:rsidP="004B2365">
            <w:pPr>
              <w:pStyle w:val="Listaszerbekezds"/>
              <w:numPr>
                <w:ilvl w:val="0"/>
                <w:numId w:val="10"/>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The organization levels of living material, and the system theory based interpretation of vital phenomena.</w:t>
            </w:r>
          </w:p>
          <w:p w:rsidR="004B2365" w:rsidRPr="004B40E4" w:rsidRDefault="004B2365" w:rsidP="004B2365">
            <w:pPr>
              <w:pStyle w:val="Listaszerbekezds"/>
              <w:numPr>
                <w:ilvl w:val="0"/>
                <w:numId w:val="10"/>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 xml:space="preserve">The pro- and eukaryotic cells structural and functional properties. The nutrition, respiration, metabolism, growth, division and death of cells. </w:t>
            </w:r>
          </w:p>
          <w:p w:rsidR="004B2365" w:rsidRPr="004B40E4" w:rsidRDefault="004B2365" w:rsidP="004B2365">
            <w:pPr>
              <w:pStyle w:val="Listaszerbekezds"/>
              <w:numPr>
                <w:ilvl w:val="0"/>
                <w:numId w:val="10"/>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Multiple correlations between cellular phenomena and nutrition: the reciprocity of genetic and environmental regulation, cell cycle and redox potential regulation, signal transduction and gene expression, cellular homeostasis.</w:t>
            </w:r>
          </w:p>
          <w:p w:rsidR="004B2365" w:rsidRPr="004B40E4" w:rsidRDefault="004B2365" w:rsidP="004B2365">
            <w:pPr>
              <w:pStyle w:val="Listaszerbekezds"/>
              <w:numPr>
                <w:ilvl w:val="0"/>
                <w:numId w:val="10"/>
              </w:numPr>
              <w:tabs>
                <w:tab w:val="left" w:pos="317"/>
              </w:tabs>
              <w:suppressAutoHyphens/>
              <w:autoSpaceDN/>
              <w:ind w:left="717" w:hanging="270"/>
              <w:contextualSpacing/>
              <w:jc w:val="both"/>
              <w:rPr>
                <w:rFonts w:ascii="Arial" w:hAnsi="Arial" w:cs="Arial"/>
                <w:sz w:val="22"/>
                <w:szCs w:val="22"/>
                <w:lang w:val="en-US"/>
              </w:rPr>
            </w:pPr>
            <w:r w:rsidRPr="004B40E4">
              <w:rPr>
                <w:rFonts w:ascii="Arial" w:hAnsi="Arial" w:cs="Arial"/>
                <w:sz w:val="22"/>
                <w:szCs w:val="22"/>
                <w:lang w:val="en-US"/>
              </w:rPr>
              <w:t xml:space="preserve">Multiple correlations regarding multicellular individuals and nutrition: differentiation and integration, neuronal and hormonal regulation, epigenetic control, ageing, nutritional value and bioavailability. </w:t>
            </w:r>
          </w:p>
          <w:p w:rsidR="004B2365" w:rsidRPr="004B40E4" w:rsidRDefault="004B2365" w:rsidP="004B2365">
            <w:pPr>
              <w:widowControl/>
              <w:numPr>
                <w:ilvl w:val="0"/>
                <w:numId w:val="13"/>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t>Skills:</w:t>
            </w:r>
          </w:p>
          <w:p w:rsidR="004B2365" w:rsidRPr="004B40E4" w:rsidRDefault="004B2365" w:rsidP="004B2365">
            <w:pPr>
              <w:pStyle w:val="Listaszerbekezds"/>
              <w:numPr>
                <w:ilvl w:val="0"/>
                <w:numId w:val="11"/>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Capable of assessing the molecular aspects of health and nutrition, together with the molecular features of hazards to food chain.</w:t>
            </w:r>
          </w:p>
          <w:p w:rsidR="004B2365" w:rsidRPr="004B40E4" w:rsidRDefault="004B2365" w:rsidP="004B2365">
            <w:pPr>
              <w:pStyle w:val="Listaszerbekezds"/>
              <w:numPr>
                <w:ilvl w:val="0"/>
                <w:numId w:val="11"/>
              </w:numPr>
              <w:tabs>
                <w:tab w:val="left" w:pos="317"/>
              </w:tabs>
              <w:suppressAutoHyphens/>
              <w:autoSpaceDN/>
              <w:contextualSpacing/>
              <w:jc w:val="both"/>
              <w:rPr>
                <w:rFonts w:ascii="Arial" w:hAnsi="Arial" w:cs="Arial"/>
                <w:sz w:val="22"/>
                <w:szCs w:val="22"/>
                <w:lang w:val="en-US"/>
              </w:rPr>
            </w:pPr>
            <w:r w:rsidRPr="004B40E4">
              <w:rPr>
                <w:rFonts w:ascii="Arial" w:hAnsi="Arial" w:cs="Arial"/>
                <w:sz w:val="22"/>
                <w:szCs w:val="22"/>
                <w:lang w:val="en-US"/>
              </w:rPr>
              <w:t>Students will acquire knowledge to work in a molecular laboratory.</w:t>
            </w:r>
          </w:p>
          <w:p w:rsidR="004B2365" w:rsidRPr="004B40E4" w:rsidRDefault="004B2365" w:rsidP="004B2365">
            <w:pPr>
              <w:widowControl/>
              <w:numPr>
                <w:ilvl w:val="0"/>
                <w:numId w:val="13"/>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t>Attitude:</w:t>
            </w:r>
          </w:p>
          <w:p w:rsidR="004B2365" w:rsidRPr="004B40E4" w:rsidRDefault="004B2365" w:rsidP="004B2365">
            <w:pPr>
              <w:pStyle w:val="Listaszerbekezds"/>
              <w:numPr>
                <w:ilvl w:val="0"/>
                <w:numId w:val="12"/>
              </w:numPr>
              <w:tabs>
                <w:tab w:val="left" w:pos="317"/>
              </w:tabs>
              <w:suppressAutoHyphens/>
              <w:autoSpaceDN/>
              <w:contextualSpacing/>
              <w:rPr>
                <w:rFonts w:ascii="Arial" w:hAnsi="Arial" w:cs="Arial"/>
                <w:sz w:val="22"/>
                <w:szCs w:val="22"/>
                <w:lang w:val="en-US"/>
              </w:rPr>
            </w:pPr>
            <w:r w:rsidRPr="004B40E4">
              <w:rPr>
                <w:rFonts w:ascii="Arial" w:hAnsi="Arial" w:cs="Arial"/>
                <w:sz w:val="22"/>
                <w:szCs w:val="22"/>
                <w:lang w:val="en-US"/>
              </w:rPr>
              <w:t>Students will become aware of the importance of personalized nutrition that is based on specific correlations between the individual characteristics of genomes and nutritional/energetic/bioactive compounds statuses, and all together standing at the basis of novel food development strategies</w:t>
            </w:r>
          </w:p>
          <w:p w:rsidR="004B2365" w:rsidRPr="004B40E4" w:rsidRDefault="004B2365" w:rsidP="004B2365">
            <w:pPr>
              <w:pStyle w:val="Listaszerbekezds"/>
              <w:numPr>
                <w:ilvl w:val="0"/>
                <w:numId w:val="12"/>
              </w:numPr>
              <w:autoSpaceDN/>
              <w:contextualSpacing/>
              <w:rPr>
                <w:rFonts w:ascii="Arial" w:hAnsi="Arial" w:cs="Arial"/>
                <w:sz w:val="22"/>
                <w:szCs w:val="22"/>
                <w:lang w:val="en-US"/>
              </w:rPr>
            </w:pPr>
            <w:r w:rsidRPr="004B40E4">
              <w:rPr>
                <w:rFonts w:ascii="Arial" w:hAnsi="Arial" w:cs="Arial"/>
                <w:sz w:val="22"/>
                <w:szCs w:val="22"/>
                <w:lang w:val="en-US"/>
              </w:rPr>
              <w:t>Committed to food R &amp; D &amp; I activities</w:t>
            </w:r>
          </w:p>
          <w:p w:rsidR="004B2365" w:rsidRPr="004B40E4" w:rsidRDefault="004B2365" w:rsidP="004B2365">
            <w:pPr>
              <w:widowControl/>
              <w:numPr>
                <w:ilvl w:val="0"/>
                <w:numId w:val="13"/>
              </w:numPr>
              <w:tabs>
                <w:tab w:val="left" w:pos="317"/>
              </w:tabs>
              <w:autoSpaceDN/>
              <w:ind w:left="176" w:hanging="142"/>
              <w:textAlignment w:val="auto"/>
              <w:rPr>
                <w:rFonts w:ascii="Arial" w:hAnsi="Arial" w:cs="Arial"/>
                <w:b/>
                <w:sz w:val="22"/>
                <w:szCs w:val="22"/>
                <w:lang w:val="en-US"/>
              </w:rPr>
            </w:pPr>
            <w:r w:rsidRPr="004B40E4">
              <w:rPr>
                <w:rFonts w:ascii="Arial" w:hAnsi="Arial" w:cs="Arial"/>
                <w:b/>
                <w:sz w:val="22"/>
                <w:szCs w:val="22"/>
                <w:lang w:val="en-US"/>
              </w:rPr>
              <w:lastRenderedPageBreak/>
              <w:t>Autonomy and responsibility:</w:t>
            </w:r>
          </w:p>
          <w:p w:rsidR="004B2365" w:rsidRPr="004B40E4" w:rsidRDefault="004B2365" w:rsidP="004B2365">
            <w:pPr>
              <w:pStyle w:val="Listaszerbekezds"/>
              <w:numPr>
                <w:ilvl w:val="0"/>
                <w:numId w:val="7"/>
              </w:numPr>
              <w:tabs>
                <w:tab w:val="left" w:pos="317"/>
              </w:tabs>
              <w:suppressAutoHyphens/>
              <w:autoSpaceDN/>
              <w:contextualSpacing/>
              <w:rPr>
                <w:rFonts w:ascii="Arial" w:hAnsi="Arial" w:cs="Arial"/>
                <w:sz w:val="22"/>
                <w:szCs w:val="22"/>
              </w:rPr>
            </w:pPr>
            <w:r w:rsidRPr="004B40E4">
              <w:rPr>
                <w:rFonts w:ascii="Arial" w:hAnsi="Arial" w:cs="Arial"/>
                <w:sz w:val="22"/>
                <w:szCs w:val="22"/>
                <w:lang w:val="en-US"/>
              </w:rPr>
              <w:t xml:space="preserve">Committed to food quality, safety, and environmental friendly and sustainable solutions that support the health of the individuals, the society and </w:t>
            </w:r>
            <w:proofErr w:type="spellStart"/>
            <w:r w:rsidRPr="004B40E4">
              <w:rPr>
                <w:rFonts w:ascii="Arial" w:hAnsi="Arial" w:cs="Arial"/>
                <w:sz w:val="22"/>
                <w:szCs w:val="22"/>
                <w:lang w:val="en-US"/>
              </w:rPr>
              <w:t>bioeconomy</w:t>
            </w:r>
            <w:proofErr w:type="spellEnd"/>
            <w:r w:rsidRPr="004B40E4">
              <w:rPr>
                <w:rFonts w:ascii="Arial" w:hAnsi="Arial" w:cs="Arial"/>
                <w:sz w:val="22"/>
                <w:szCs w:val="22"/>
                <w:lang w:val="en-US"/>
              </w:rPr>
              <w:t>.</w:t>
            </w:r>
          </w:p>
          <w:p w:rsidR="004B2365" w:rsidRPr="004B40E4" w:rsidRDefault="004B2365" w:rsidP="00CD0962">
            <w:pPr>
              <w:pStyle w:val="Listaszerbekezds"/>
              <w:tabs>
                <w:tab w:val="left" w:pos="317"/>
              </w:tabs>
              <w:suppressAutoHyphens/>
              <w:autoSpaceDN/>
              <w:ind w:left="1005"/>
              <w:contextualSpacing/>
              <w:rPr>
                <w:rFonts w:ascii="Arial" w:hAnsi="Arial" w:cs="Arial"/>
                <w:sz w:val="22"/>
                <w:szCs w:val="22"/>
              </w:rPr>
            </w:pPr>
          </w:p>
        </w:tc>
      </w:tr>
    </w:tbl>
    <w:p w:rsidR="004B2365" w:rsidRPr="004B40E4" w:rsidRDefault="004B2365" w:rsidP="004B236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B2365" w:rsidRPr="004B40E4" w:rsidTr="00CD0962">
        <w:trPr>
          <w:trHeight w:val="338"/>
        </w:trPr>
        <w:tc>
          <w:tcPr>
            <w:tcW w:w="9356" w:type="dxa"/>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Dr. Endre Máthé PhD</w:t>
            </w:r>
          </w:p>
        </w:tc>
      </w:tr>
      <w:tr w:rsidR="004B2365" w:rsidRPr="004B40E4" w:rsidTr="00CD0962">
        <w:trPr>
          <w:trHeight w:val="337"/>
        </w:trPr>
        <w:tc>
          <w:tcPr>
            <w:tcW w:w="9356" w:type="dxa"/>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s): -</w:t>
            </w:r>
          </w:p>
        </w:tc>
      </w:tr>
    </w:tbl>
    <w:p w:rsidR="004B2365" w:rsidRPr="004B40E4" w:rsidRDefault="004B2365" w:rsidP="004B236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B2365"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Terms</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course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completion</w:t>
            </w:r>
            <w:proofErr w:type="spellEnd"/>
            <w:r w:rsidRPr="004B40E4">
              <w:rPr>
                <w:rFonts w:ascii="Arial" w:hAnsi="Arial" w:cs="Arial"/>
                <w:b/>
                <w:sz w:val="22"/>
                <w:szCs w:val="22"/>
              </w:rPr>
              <w:t>:</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rPr>
                <w:rFonts w:ascii="Arial" w:hAnsi="Arial" w:cs="Arial"/>
                <w:sz w:val="22"/>
                <w:szCs w:val="22"/>
                <w:lang w:val="en-US"/>
              </w:rPr>
            </w:pPr>
            <w:r w:rsidRPr="004B40E4">
              <w:rPr>
                <w:rFonts w:ascii="Arial" w:hAnsi="Arial" w:cs="Arial"/>
                <w:sz w:val="22"/>
                <w:szCs w:val="22"/>
                <w:lang w:val="en-US"/>
              </w:rPr>
              <w:t>2 essays on given topic</w:t>
            </w:r>
          </w:p>
        </w:tc>
      </w:tr>
      <w:tr w:rsidR="004B2365"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Form</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examination</w:t>
            </w:r>
            <w:proofErr w:type="spellEnd"/>
            <w:r w:rsidRPr="004B40E4">
              <w:rPr>
                <w:rFonts w:ascii="Arial" w:hAnsi="Arial" w:cs="Arial"/>
                <w:b/>
                <w:sz w:val="22"/>
                <w:szCs w:val="22"/>
              </w:rPr>
              <w:t>:</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ind w:left="34"/>
              <w:rPr>
                <w:rFonts w:ascii="Arial" w:hAnsi="Arial" w:cs="Arial"/>
                <w:sz w:val="22"/>
                <w:szCs w:val="22"/>
              </w:rPr>
            </w:pPr>
            <w:r w:rsidRPr="004B40E4">
              <w:rPr>
                <w:rFonts w:ascii="Arial" w:hAnsi="Arial" w:cs="Arial"/>
                <w:sz w:val="22"/>
                <w:szCs w:val="22"/>
                <w:lang w:val="en-US"/>
              </w:rPr>
              <w:t>Written and oral exam</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i/>
                <w:sz w:val="22"/>
                <w:szCs w:val="22"/>
              </w:rPr>
            </w:pPr>
            <w:proofErr w:type="spellStart"/>
            <w:proofErr w:type="gramStart"/>
            <w:r w:rsidRPr="004B40E4">
              <w:rPr>
                <w:rFonts w:ascii="Arial" w:hAnsi="Arial" w:cs="Arial"/>
                <w:b/>
                <w:sz w:val="22"/>
                <w:szCs w:val="22"/>
              </w:rPr>
              <w:t>Requirement</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to</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get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signature</w:t>
            </w:r>
            <w:proofErr w:type="spellEnd"/>
            <w:r w:rsidRPr="004B40E4">
              <w:rPr>
                <w:rFonts w:ascii="Arial" w:hAnsi="Arial" w:cs="Arial"/>
                <w:b/>
                <w:sz w:val="22"/>
                <w:szCs w:val="22"/>
              </w:rPr>
              <w:t>:</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tabs>
                <w:tab w:val="left" w:pos="1277"/>
              </w:tabs>
              <w:ind w:left="34"/>
              <w:rPr>
                <w:rFonts w:ascii="Arial" w:hAnsi="Arial" w:cs="Arial"/>
                <w:sz w:val="22"/>
                <w:szCs w:val="22"/>
                <w:lang w:val="en-US"/>
              </w:rPr>
            </w:pPr>
            <w:r w:rsidRPr="004B40E4">
              <w:rPr>
                <w:rFonts w:ascii="Arial" w:hAnsi="Arial" w:cs="Arial"/>
                <w:sz w:val="22"/>
                <w:szCs w:val="22"/>
                <w:lang w:val="en-US"/>
              </w:rPr>
              <w:t>Submission of 2 essays</w:t>
            </w:r>
          </w:p>
          <w:p w:rsidR="004B2365" w:rsidRPr="004B40E4" w:rsidRDefault="004B2365" w:rsidP="00CD0962">
            <w:pPr>
              <w:tabs>
                <w:tab w:val="left" w:pos="1277"/>
              </w:tabs>
              <w:ind w:left="34"/>
              <w:rPr>
                <w:rFonts w:ascii="Arial" w:hAnsi="Arial" w:cs="Arial"/>
                <w:sz w:val="22"/>
                <w:szCs w:val="22"/>
                <w:lang w:val="en-US"/>
              </w:rPr>
            </w:pPr>
          </w:p>
          <w:p w:rsidR="004B2365" w:rsidRPr="004B40E4" w:rsidRDefault="004B2365" w:rsidP="00CD0962">
            <w:pPr>
              <w:tabs>
                <w:tab w:val="left" w:pos="1277"/>
              </w:tabs>
              <w:ind w:left="34"/>
              <w:jc w:val="both"/>
              <w:rPr>
                <w:rFonts w:ascii="Arial" w:hAnsi="Arial" w:cs="Arial"/>
                <w:sz w:val="22"/>
                <w:szCs w:val="22"/>
                <w:lang w:val="en-US"/>
              </w:rPr>
            </w:pPr>
            <w:r w:rsidRPr="004B40E4">
              <w:rPr>
                <w:rFonts w:ascii="Arial" w:hAnsi="Arial" w:cs="Arial"/>
                <w:sz w:val="22"/>
                <w:szCs w:val="22"/>
                <w:lang w:val="en-US"/>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tc>
      </w:tr>
    </w:tbl>
    <w:p w:rsidR="004B2365" w:rsidRPr="004B40E4" w:rsidRDefault="004B2365" w:rsidP="004B236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B2365"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B2365" w:rsidRPr="004B40E4" w:rsidRDefault="004B2365" w:rsidP="00CD0962">
            <w:pPr>
              <w:spacing w:before="60"/>
              <w:jc w:val="both"/>
              <w:rPr>
                <w:rFonts w:ascii="Arial" w:hAnsi="Arial" w:cs="Arial"/>
                <w:b/>
                <w:sz w:val="22"/>
                <w:szCs w:val="22"/>
              </w:rPr>
            </w:pPr>
            <w:proofErr w:type="spellStart"/>
            <w:r w:rsidRPr="004B40E4">
              <w:rPr>
                <w:rFonts w:ascii="Arial" w:hAnsi="Arial" w:cs="Arial"/>
                <w:b/>
                <w:sz w:val="22"/>
                <w:szCs w:val="22"/>
              </w:rPr>
              <w:t>Exam</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questions</w:t>
            </w:r>
            <w:proofErr w:type="spellEnd"/>
            <w:r w:rsidRPr="004B40E4">
              <w:rPr>
                <w:rFonts w:ascii="Arial" w:hAnsi="Arial" w:cs="Arial"/>
                <w:b/>
                <w:sz w:val="22"/>
                <w:szCs w:val="22"/>
              </w:rPr>
              <w:t>/</w:t>
            </w:r>
            <w:proofErr w:type="spellStart"/>
            <w:r w:rsidRPr="004B40E4">
              <w:rPr>
                <w:rFonts w:ascii="Arial" w:hAnsi="Arial" w:cs="Arial"/>
                <w:b/>
                <w:sz w:val="22"/>
                <w:szCs w:val="22"/>
              </w:rPr>
              <w:t>topics</w:t>
            </w:r>
            <w:proofErr w:type="spellEnd"/>
            <w:r w:rsidRPr="004B40E4">
              <w:rPr>
                <w:rFonts w:ascii="Arial" w:hAnsi="Arial" w:cs="Arial"/>
                <w:b/>
                <w:sz w:val="22"/>
                <w:szCs w:val="22"/>
              </w:rPr>
              <w:t>:</w:t>
            </w:r>
          </w:p>
        </w:tc>
      </w:tr>
      <w:tr w:rsidR="004B2365"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1. Nutritional genetics and genomics.</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 xml:space="preserve">2. Epigenetics. </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3. Nuclear receptors and signal transduction pathways regulating gene expression.</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4. Amino acid availability and gene expression regulation.</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5. Transcriptional regulation of hepatic genes by insulin and glucose.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6. PPARs in atherosclerosis, diabetes and metabolic syndrome.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7. Nutrition and inflammatory response.</w:t>
            </w:r>
          </w:p>
          <w:p w:rsidR="004B2365" w:rsidRPr="004B40E4" w:rsidRDefault="004B2365" w:rsidP="00CD0962">
            <w:pPr>
              <w:spacing w:line="276" w:lineRule="auto"/>
              <w:jc w:val="both"/>
              <w:rPr>
                <w:rFonts w:ascii="Arial" w:hAnsi="Arial" w:cs="Arial"/>
                <w:sz w:val="22"/>
                <w:szCs w:val="22"/>
                <w:lang w:val="en-US"/>
              </w:rPr>
            </w:pPr>
            <w:r w:rsidRPr="004B40E4">
              <w:rPr>
                <w:rFonts w:ascii="Arial" w:hAnsi="Arial" w:cs="Arial"/>
                <w:sz w:val="22"/>
                <w:szCs w:val="22"/>
                <w:lang w:val="en-US"/>
              </w:rPr>
              <w:t>8. Genetic polymorphism, nutrition and hypertension.</w:t>
            </w:r>
          </w:p>
          <w:p w:rsidR="004B2365" w:rsidRPr="004B40E4" w:rsidRDefault="004B2365" w:rsidP="00CD0962">
            <w:pPr>
              <w:spacing w:line="276" w:lineRule="auto"/>
              <w:jc w:val="both"/>
              <w:rPr>
                <w:rFonts w:ascii="Arial" w:hAnsi="Arial" w:cs="Arial"/>
                <w:sz w:val="22"/>
                <w:szCs w:val="22"/>
              </w:rPr>
            </w:pPr>
            <w:r w:rsidRPr="004B40E4">
              <w:rPr>
                <w:rFonts w:ascii="Arial" w:hAnsi="Arial" w:cs="Arial"/>
                <w:sz w:val="22"/>
                <w:szCs w:val="22"/>
                <w:lang w:val="en-US"/>
              </w:rPr>
              <w:t>9. Genetic polymorphism, nutrition and cancer.</w:t>
            </w:r>
          </w:p>
        </w:tc>
      </w:tr>
    </w:tbl>
    <w:p w:rsidR="00F42A96" w:rsidRPr="004B2365" w:rsidRDefault="00F42A96" w:rsidP="004B2365"/>
    <w:sectPr w:rsidR="00F42A96" w:rsidRPr="004B2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783582B"/>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03DE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F90A1F"/>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11"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1"/>
  </w:num>
  <w:num w:numId="9">
    <w:abstractNumId w:val="5"/>
  </w:num>
  <w:num w:numId="10">
    <w:abstractNumId w:val="10"/>
  </w:num>
  <w:num w:numId="11">
    <w:abstractNumId w:val="4"/>
  </w:num>
  <w:num w:numId="12">
    <w:abstractNumId w:val="3"/>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B2365"/>
    <w:rsid w:val="004C5D3E"/>
    <w:rsid w:val="005D5B8C"/>
    <w:rsid w:val="00646768"/>
    <w:rsid w:val="006F45EC"/>
    <w:rsid w:val="00800AF8"/>
    <w:rsid w:val="00830832"/>
    <w:rsid w:val="008C72AA"/>
    <w:rsid w:val="00917EE8"/>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6254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2019-08-28T12:41:00Z</dcterms:created>
  <dcterms:modified xsi:type="dcterms:W3CDTF">2019-08-28T12:41:00Z</dcterms:modified>
</cp:coreProperties>
</file>