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1"/>
        <w:gridCol w:w="2601"/>
      </w:tblGrid>
      <w:tr w:rsidR="00124FBF" w:rsidRPr="00782B03" w:rsidTr="00CD0962">
        <w:tc>
          <w:tcPr>
            <w:tcW w:w="637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124FBF" w:rsidRDefault="00124FBF" w:rsidP="00CD0962">
            <w:pPr>
              <w:suppressAutoHyphens/>
              <w:spacing w:before="120" w:after="120"/>
              <w:jc w:val="both"/>
              <w:rPr>
                <w:rFonts w:ascii="Arial" w:hAnsi="Arial" w:cs="Arial"/>
                <w:lang w:val="en-US"/>
              </w:rPr>
            </w:pPr>
            <w:r w:rsidRPr="00782B03">
              <w:rPr>
                <w:rFonts w:ascii="Arial" w:hAnsi="Arial" w:cs="Arial"/>
                <w:b/>
                <w:lang w:val="en-US"/>
              </w:rPr>
              <w:t>Title and Code</w:t>
            </w:r>
            <w:r w:rsidRPr="00782B03">
              <w:rPr>
                <w:rFonts w:ascii="Arial" w:hAnsi="Arial" w:cs="Arial"/>
                <w:lang w:val="en-US"/>
              </w:rPr>
              <w:t xml:space="preserve"> of the subject: </w:t>
            </w:r>
          </w:p>
          <w:p w:rsidR="00124FBF" w:rsidRPr="00782B03" w:rsidRDefault="00124FBF" w:rsidP="00CD0962">
            <w:pPr>
              <w:suppressAutoHyphens/>
              <w:spacing w:before="120" w:after="120"/>
              <w:jc w:val="both"/>
              <w:rPr>
                <w:rFonts w:ascii="Arial" w:eastAsia="Times New Roman" w:hAnsi="Arial" w:cs="Arial"/>
                <w:b/>
                <w:i/>
                <w:lang w:val="en-US"/>
              </w:rPr>
            </w:pPr>
            <w:bookmarkStart w:id="0" w:name="_GoBack"/>
            <w:r w:rsidRPr="00782B03">
              <w:rPr>
                <w:rFonts w:ascii="Arial" w:hAnsi="Arial" w:cs="Arial"/>
                <w:b/>
                <w:lang w:val="en-US"/>
              </w:rPr>
              <w:t>Nutrition Knowledge</w:t>
            </w:r>
            <w:r>
              <w:rPr>
                <w:rFonts w:ascii="Arial" w:hAnsi="Arial" w:cs="Arial"/>
                <w:b/>
                <w:lang w:val="en-US"/>
              </w:rPr>
              <w:t>, MTBE7038A</w:t>
            </w:r>
            <w:r w:rsidRPr="00782B03">
              <w:rPr>
                <w:rFonts w:ascii="Arial" w:hAnsi="Arial" w:cs="Arial"/>
                <w:lang w:val="en-US"/>
              </w:rPr>
              <w:t xml:space="preserve">  </w:t>
            </w:r>
            <w:bookmarkEnd w:id="0"/>
          </w:p>
        </w:tc>
        <w:tc>
          <w:tcPr>
            <w:tcW w:w="265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124FBF" w:rsidRPr="00782B03" w:rsidRDefault="00124FBF" w:rsidP="00CD0962">
            <w:pPr>
              <w:suppressAutoHyphens/>
              <w:spacing w:before="120" w:after="120"/>
              <w:jc w:val="both"/>
              <w:rPr>
                <w:rFonts w:ascii="Arial" w:eastAsia="Times New Roman" w:hAnsi="Arial" w:cs="Arial"/>
                <w:b/>
                <w:lang w:val="en-US"/>
              </w:rPr>
            </w:pPr>
            <w:r w:rsidRPr="00782B03">
              <w:rPr>
                <w:rFonts w:ascii="Arial" w:hAnsi="Arial" w:cs="Arial"/>
                <w:b/>
                <w:lang w:val="en-US"/>
              </w:rPr>
              <w:t>ECTS Credit Points: 3</w:t>
            </w:r>
          </w:p>
        </w:tc>
      </w:tr>
      <w:tr w:rsidR="00124FBF" w:rsidRPr="00782B03" w:rsidTr="00CD0962">
        <w:tc>
          <w:tcPr>
            <w:tcW w:w="90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124FBF" w:rsidRPr="00782B03" w:rsidRDefault="00124FBF" w:rsidP="00CD0962">
            <w:pPr>
              <w:suppressAutoHyphens/>
              <w:spacing w:before="120" w:after="120"/>
              <w:jc w:val="both"/>
              <w:rPr>
                <w:rFonts w:ascii="Arial" w:eastAsia="Times New Roman" w:hAnsi="Arial" w:cs="Arial"/>
                <w:lang w:val="en-US"/>
              </w:rPr>
            </w:pPr>
            <w:r w:rsidRPr="00782B03">
              <w:rPr>
                <w:rFonts w:ascii="Arial" w:hAnsi="Arial" w:cs="Arial"/>
                <w:b/>
                <w:lang w:val="en-US"/>
              </w:rPr>
              <w:t>Type</w:t>
            </w:r>
            <w:r w:rsidRPr="00782B03">
              <w:rPr>
                <w:rFonts w:ascii="Arial" w:hAnsi="Arial" w:cs="Arial"/>
                <w:lang w:val="en-US"/>
              </w:rPr>
              <w:t xml:space="preserve"> of the subject: optional</w:t>
            </w:r>
          </w:p>
        </w:tc>
      </w:tr>
      <w:tr w:rsidR="00124FBF" w:rsidRPr="00782B03" w:rsidTr="00CD0962">
        <w:tc>
          <w:tcPr>
            <w:tcW w:w="90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124FBF" w:rsidRPr="00782B03" w:rsidRDefault="00124FBF" w:rsidP="00CD0962">
            <w:pPr>
              <w:suppressAutoHyphens/>
              <w:spacing w:before="120" w:after="120"/>
              <w:jc w:val="both"/>
              <w:rPr>
                <w:rFonts w:ascii="Arial" w:eastAsia="Times New Roman" w:hAnsi="Arial" w:cs="Arial"/>
                <w:lang w:val="en-US"/>
              </w:rPr>
            </w:pPr>
            <w:r w:rsidRPr="00782B03">
              <w:rPr>
                <w:rFonts w:ascii="Arial" w:hAnsi="Arial" w:cs="Arial"/>
                <w:b/>
                <w:lang w:val="en-US"/>
              </w:rPr>
              <w:t>Ratio of theory and practice</w:t>
            </w:r>
            <w:r w:rsidRPr="00782B03">
              <w:rPr>
                <w:rFonts w:ascii="Arial" w:hAnsi="Arial" w:cs="Arial"/>
                <w:lang w:val="en-US"/>
              </w:rPr>
              <w:t xml:space="preserve"> (credit%) 100 % theoretical, 0 % practical</w:t>
            </w:r>
          </w:p>
        </w:tc>
      </w:tr>
      <w:tr w:rsidR="00124FBF" w:rsidRPr="00782B03" w:rsidTr="00CD0962">
        <w:tc>
          <w:tcPr>
            <w:tcW w:w="90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124FBF" w:rsidRPr="00782B03" w:rsidRDefault="00124FBF" w:rsidP="00CD0962">
            <w:pPr>
              <w:suppressAutoHyphens/>
              <w:spacing w:before="120" w:after="120"/>
              <w:jc w:val="both"/>
              <w:rPr>
                <w:rFonts w:ascii="Arial" w:eastAsia="Times New Roman" w:hAnsi="Arial" w:cs="Arial"/>
                <w:lang w:val="en-US"/>
              </w:rPr>
            </w:pPr>
            <w:r w:rsidRPr="00782B03">
              <w:rPr>
                <w:rFonts w:ascii="Arial" w:hAnsi="Arial" w:cs="Arial"/>
                <w:b/>
                <w:lang w:val="en-US"/>
              </w:rPr>
              <w:t>Type and number of classes per semester</w:t>
            </w:r>
            <w:r w:rsidRPr="00782B03">
              <w:rPr>
                <w:rFonts w:ascii="Arial" w:hAnsi="Arial" w:cs="Arial"/>
                <w:lang w:val="en-US"/>
              </w:rPr>
              <w:t xml:space="preserve">: 28 hours lecture per </w:t>
            </w:r>
            <w:r w:rsidRPr="00782B03">
              <w:rPr>
                <w:rFonts w:ascii="Arial" w:hAnsi="Arial" w:cs="Arial"/>
                <w:b/>
                <w:lang w:val="en-US"/>
              </w:rPr>
              <w:t>semester</w:t>
            </w:r>
          </w:p>
          <w:p w:rsidR="00124FBF" w:rsidRPr="00782B03" w:rsidRDefault="00124FBF" w:rsidP="00CD0962">
            <w:pPr>
              <w:suppressAutoHyphens/>
              <w:spacing w:before="120" w:after="120"/>
              <w:jc w:val="both"/>
              <w:rPr>
                <w:rFonts w:ascii="Arial" w:eastAsia="Times New Roman" w:hAnsi="Arial" w:cs="Arial"/>
                <w:lang w:val="en-US"/>
              </w:rPr>
            </w:pPr>
            <w:r w:rsidRPr="00782B03">
              <w:rPr>
                <w:rFonts w:ascii="Arial" w:hAnsi="Arial" w:cs="Arial"/>
                <w:lang w:val="en-US"/>
              </w:rPr>
              <w:t>Number of teaching hours per week : 2 lectures + 0 practice</w:t>
            </w:r>
          </w:p>
        </w:tc>
      </w:tr>
      <w:tr w:rsidR="00124FBF" w:rsidRPr="00782B03" w:rsidTr="00CD0962">
        <w:tc>
          <w:tcPr>
            <w:tcW w:w="90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124FBF" w:rsidRPr="00782B03" w:rsidRDefault="00124FBF" w:rsidP="00CD0962">
            <w:pPr>
              <w:suppressAutoHyphens/>
              <w:spacing w:before="120" w:after="120"/>
              <w:jc w:val="both"/>
              <w:rPr>
                <w:rFonts w:ascii="Arial" w:eastAsia="Times New Roman" w:hAnsi="Arial" w:cs="Arial"/>
                <w:b/>
                <w:lang w:val="en-US"/>
              </w:rPr>
            </w:pPr>
            <w:r w:rsidRPr="00782B03">
              <w:rPr>
                <w:rFonts w:ascii="Arial" w:hAnsi="Arial" w:cs="Arial"/>
                <w:b/>
                <w:lang w:val="en-US"/>
              </w:rPr>
              <w:t>Type of exam</w:t>
            </w:r>
            <w:r w:rsidRPr="00782B03">
              <w:rPr>
                <w:rFonts w:ascii="Arial" w:hAnsi="Arial" w:cs="Arial"/>
                <w:lang w:val="en-US"/>
              </w:rPr>
              <w:t xml:space="preserve">: </w:t>
            </w:r>
            <w:r w:rsidRPr="00782B03">
              <w:rPr>
                <w:rFonts w:ascii="Arial" w:hAnsi="Arial" w:cs="Arial"/>
                <w:b/>
                <w:lang w:val="en-US"/>
              </w:rPr>
              <w:t>colloquium</w:t>
            </w:r>
          </w:p>
        </w:tc>
      </w:tr>
      <w:tr w:rsidR="00124FBF" w:rsidRPr="00782B03" w:rsidTr="00CD0962">
        <w:tc>
          <w:tcPr>
            <w:tcW w:w="90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124FBF" w:rsidRPr="00782B03" w:rsidRDefault="00124FBF" w:rsidP="00CD0962">
            <w:pPr>
              <w:suppressAutoHyphens/>
              <w:spacing w:before="120" w:after="120"/>
              <w:jc w:val="both"/>
              <w:rPr>
                <w:rFonts w:ascii="Arial" w:eastAsia="Times New Roman" w:hAnsi="Arial" w:cs="Arial"/>
                <w:lang w:val="en-US"/>
              </w:rPr>
            </w:pPr>
            <w:r w:rsidRPr="00782B03">
              <w:rPr>
                <w:rFonts w:ascii="Arial" w:hAnsi="Arial" w:cs="Arial"/>
                <w:b/>
                <w:lang w:val="en-US"/>
              </w:rPr>
              <w:t>Subject in the curriculum</w:t>
            </w:r>
            <w:r w:rsidRPr="00782B03">
              <w:rPr>
                <w:rFonts w:ascii="Arial" w:hAnsi="Arial" w:cs="Arial"/>
                <w:lang w:val="en-US"/>
              </w:rPr>
              <w:t xml:space="preserve">: </w:t>
            </w:r>
            <w:r w:rsidRPr="00782B03">
              <w:rPr>
                <w:rFonts w:ascii="Arial" w:hAnsi="Arial" w:cs="Arial"/>
                <w:b/>
                <w:lang w:val="en-US"/>
              </w:rPr>
              <w:t>6th semester</w:t>
            </w:r>
          </w:p>
        </w:tc>
      </w:tr>
      <w:tr w:rsidR="00124FBF" w:rsidRPr="00782B03" w:rsidTr="00CD0962">
        <w:tc>
          <w:tcPr>
            <w:tcW w:w="90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124FBF" w:rsidRPr="00782B03" w:rsidRDefault="00124FBF" w:rsidP="00CD0962">
            <w:pPr>
              <w:suppressAutoHyphens/>
              <w:spacing w:before="120" w:after="120"/>
              <w:jc w:val="both"/>
              <w:rPr>
                <w:rFonts w:ascii="Arial" w:eastAsia="Times New Roman" w:hAnsi="Arial" w:cs="Arial"/>
                <w:lang w:val="en-US"/>
              </w:rPr>
            </w:pPr>
            <w:r w:rsidRPr="00782B03">
              <w:rPr>
                <w:rFonts w:ascii="Arial" w:hAnsi="Arial" w:cs="Arial"/>
                <w:b/>
                <w:lang w:val="en-US"/>
              </w:rPr>
              <w:t xml:space="preserve">Preliminary requirements: </w:t>
            </w:r>
            <w:r w:rsidRPr="00782B03">
              <w:rPr>
                <w:rFonts w:ascii="Arial" w:hAnsi="Arial" w:cs="Arial"/>
                <w:lang w:val="en-US"/>
              </w:rPr>
              <w:t>MTBE7006A General and Inorganic Chemistry; MTBE7003A Food Physics</w:t>
            </w:r>
          </w:p>
        </w:tc>
      </w:tr>
    </w:tbl>
    <w:p w:rsidR="00124FBF" w:rsidRPr="00782B03" w:rsidRDefault="00124FBF" w:rsidP="00124FBF">
      <w:pPr>
        <w:suppressAutoHyphens/>
        <w:jc w:val="both"/>
        <w:rPr>
          <w:rFonts w:ascii="Arial" w:eastAsia="Times New Roman" w:hAnsi="Arial" w:cs="Arial"/>
          <w:sz w:val="2"/>
          <w:szCs w:val="2"/>
          <w:lang w:val="en-US"/>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124FBF" w:rsidRPr="00782B03" w:rsidTr="00CD0962">
        <w:tc>
          <w:tcPr>
            <w:tcW w:w="9072"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124FBF" w:rsidRPr="00782B03" w:rsidRDefault="00124FBF" w:rsidP="00CD0962">
            <w:pPr>
              <w:suppressAutoHyphens/>
              <w:spacing w:before="60"/>
              <w:jc w:val="both"/>
              <w:rPr>
                <w:rFonts w:ascii="Arial" w:eastAsia="Times New Roman" w:hAnsi="Arial" w:cs="Arial"/>
                <w:b/>
                <w:lang w:val="en-US"/>
              </w:rPr>
            </w:pPr>
            <w:r w:rsidRPr="00782B03">
              <w:rPr>
                <w:rFonts w:ascii="Arial" w:hAnsi="Arial" w:cs="Arial"/>
                <w:b/>
                <w:lang w:val="en-US"/>
              </w:rPr>
              <w:t xml:space="preserve">Summary of content - </w:t>
            </w:r>
            <w:r w:rsidRPr="00782B03">
              <w:rPr>
                <w:rFonts w:ascii="Arial" w:hAnsi="Arial" w:cs="Arial"/>
                <w:b/>
                <w:u w:val="single"/>
                <w:lang w:val="en-US"/>
              </w:rPr>
              <w:t>theory</w:t>
            </w:r>
            <w:r w:rsidRPr="00782B03">
              <w:rPr>
                <w:rFonts w:ascii="Arial" w:hAnsi="Arial" w:cs="Arial"/>
                <w:lang w:val="en-US"/>
              </w:rPr>
              <w:t>:</w:t>
            </w:r>
          </w:p>
        </w:tc>
      </w:tr>
      <w:tr w:rsidR="00124FBF" w:rsidRPr="00782B03" w:rsidTr="00CD0962">
        <w:trPr>
          <w:trHeight w:val="280"/>
        </w:trPr>
        <w:tc>
          <w:tcPr>
            <w:tcW w:w="9072"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tcPr>
          <w:p w:rsidR="00124FBF" w:rsidRPr="00782B03" w:rsidRDefault="00124FBF" w:rsidP="00CD0962">
            <w:pPr>
              <w:spacing w:before="60"/>
              <w:jc w:val="both"/>
              <w:rPr>
                <w:rFonts w:ascii="Arial" w:eastAsia="Times New Roman" w:hAnsi="Arial" w:cs="Arial"/>
                <w:lang w:val="en-US"/>
              </w:rPr>
            </w:pPr>
            <w:r w:rsidRPr="00782B03">
              <w:rPr>
                <w:rFonts w:ascii="Arial" w:hAnsi="Arial" w:cs="Arial"/>
                <w:lang w:val="en-US"/>
              </w:rPr>
              <w:t>Course objectives:</w:t>
            </w:r>
          </w:p>
          <w:p w:rsidR="00124FBF" w:rsidRPr="00782B03" w:rsidRDefault="00124FBF" w:rsidP="00CD0962">
            <w:pPr>
              <w:spacing w:before="60"/>
              <w:jc w:val="both"/>
              <w:rPr>
                <w:rFonts w:ascii="Arial" w:hAnsi="Arial" w:cs="Arial"/>
                <w:lang w:val="en-US"/>
              </w:rPr>
            </w:pPr>
            <w:r w:rsidRPr="00782B03">
              <w:rPr>
                <w:rFonts w:ascii="Arial" w:hAnsi="Arial" w:cs="Arial"/>
                <w:lang w:val="en-US"/>
              </w:rPr>
              <w:t xml:space="preserve">The subject is some basic knowledge area, how the human body will take up the components of the food. The recommended daily intake levels of food components will be discussed. The efficiency of kitchen technology on the nutrient content and on the digestibility of foods will also be discussed. Students will get a general overview and examples, what “functional food” means. The aim of the subject is to provide the </w:t>
            </w:r>
            <w:proofErr w:type="spellStart"/>
            <w:r w:rsidRPr="00782B03">
              <w:rPr>
                <w:rFonts w:ascii="Arial" w:hAnsi="Arial" w:cs="Arial"/>
                <w:lang w:val="en-US"/>
              </w:rPr>
              <w:t>students</w:t>
            </w:r>
            <w:proofErr w:type="spellEnd"/>
            <w:r w:rsidRPr="00782B03">
              <w:rPr>
                <w:rFonts w:ascii="Arial" w:hAnsi="Arial" w:cs="Arial"/>
                <w:lang w:val="en-US"/>
              </w:rPr>
              <w:t xml:space="preserve"> knowledge how the most suitable food raw materials and kitchen techniques can be chosen by preparing foods.</w:t>
            </w:r>
          </w:p>
          <w:p w:rsidR="00124FBF" w:rsidRPr="00782B03" w:rsidRDefault="00124FBF" w:rsidP="00CD0962">
            <w:pPr>
              <w:suppressAutoHyphens/>
              <w:ind w:left="34"/>
              <w:jc w:val="both"/>
              <w:rPr>
                <w:rFonts w:ascii="Arial" w:hAnsi="Arial" w:cs="Arial"/>
                <w:b/>
                <w:lang w:val="en-US"/>
              </w:rPr>
            </w:pPr>
            <w:r w:rsidRPr="00782B03">
              <w:rPr>
                <w:rFonts w:ascii="Arial" w:hAnsi="Arial" w:cs="Arial"/>
                <w:b/>
                <w:lang w:val="en-US"/>
              </w:rPr>
              <w:t>Schedule:</w:t>
            </w:r>
          </w:p>
          <w:p w:rsidR="00124FBF" w:rsidRPr="00782B03" w:rsidRDefault="00124FBF" w:rsidP="00CD0962">
            <w:pPr>
              <w:ind w:left="346" w:hanging="346"/>
              <w:jc w:val="both"/>
              <w:rPr>
                <w:rFonts w:ascii="Arial" w:hAnsi="Arial" w:cs="Arial"/>
                <w:szCs w:val="20"/>
                <w:lang w:val="en-US"/>
              </w:rPr>
            </w:pPr>
            <w:r w:rsidRPr="00782B03">
              <w:rPr>
                <w:rFonts w:ascii="Arial" w:hAnsi="Arial" w:cs="Arial"/>
                <w:lang w:val="en-US"/>
              </w:rPr>
              <w:t>1st week: The definition of nutrition. Basic kitchen operations and tools. Chemical composition of food raw materials</w:t>
            </w:r>
          </w:p>
          <w:p w:rsidR="00124FBF" w:rsidRPr="00782B03" w:rsidRDefault="00124FBF" w:rsidP="00CD0962">
            <w:pPr>
              <w:ind w:left="346" w:hanging="346"/>
              <w:jc w:val="both"/>
              <w:rPr>
                <w:rFonts w:ascii="Arial" w:hAnsi="Arial" w:cs="Arial"/>
                <w:lang w:val="en-US"/>
              </w:rPr>
            </w:pPr>
            <w:r w:rsidRPr="00782B03">
              <w:rPr>
                <w:rFonts w:ascii="Arial" w:hAnsi="Arial" w:cs="Arial"/>
                <w:lang w:val="en-US"/>
              </w:rPr>
              <w:t>2nd week: Energy content of foods, energy needs of the human organisms. Some important recommendations</w:t>
            </w:r>
          </w:p>
          <w:p w:rsidR="00124FBF" w:rsidRPr="00782B03" w:rsidRDefault="00124FBF" w:rsidP="00CD0962">
            <w:pPr>
              <w:ind w:left="346" w:hanging="346"/>
              <w:jc w:val="both"/>
              <w:rPr>
                <w:rFonts w:ascii="Arial" w:hAnsi="Arial" w:cs="Arial"/>
                <w:lang w:val="en-US"/>
              </w:rPr>
            </w:pPr>
            <w:r w:rsidRPr="00782B03">
              <w:rPr>
                <w:rFonts w:ascii="Arial" w:hAnsi="Arial" w:cs="Arial"/>
                <w:lang w:val="en-US"/>
              </w:rPr>
              <w:t>3rd week: Amino acids and proteins in foods from different origin. Quantity needs and quality issues</w:t>
            </w:r>
          </w:p>
          <w:p w:rsidR="00124FBF" w:rsidRPr="00782B03" w:rsidRDefault="00124FBF" w:rsidP="00CD0962">
            <w:pPr>
              <w:ind w:left="346" w:hanging="346"/>
              <w:jc w:val="both"/>
              <w:rPr>
                <w:rFonts w:ascii="Arial" w:hAnsi="Arial" w:cs="Arial"/>
                <w:lang w:val="en-US"/>
              </w:rPr>
            </w:pPr>
            <w:r w:rsidRPr="00782B03">
              <w:rPr>
                <w:rFonts w:ascii="Arial" w:hAnsi="Arial" w:cs="Arial"/>
                <w:lang w:val="en-US"/>
              </w:rPr>
              <w:t>4th week: Carbohydrates: structure and role of mono-, di- and oligosaccharides; functions of polysaccharides of plants and animals/human beings</w:t>
            </w:r>
          </w:p>
          <w:p w:rsidR="00124FBF" w:rsidRPr="00782B03" w:rsidRDefault="00124FBF" w:rsidP="00CD0962">
            <w:pPr>
              <w:ind w:left="346" w:hanging="346"/>
              <w:jc w:val="both"/>
              <w:rPr>
                <w:rFonts w:ascii="Arial" w:hAnsi="Arial" w:cs="Arial"/>
                <w:lang w:val="en-US"/>
              </w:rPr>
            </w:pPr>
            <w:r w:rsidRPr="00782B03">
              <w:rPr>
                <w:rFonts w:ascii="Arial" w:hAnsi="Arial" w:cs="Arial"/>
                <w:lang w:val="en-US"/>
              </w:rPr>
              <w:t>5th week: Carbohydrates and dietary fibers. Recommendations for quantity and quality. Sugar replacers (sweeteners), their advantages and disadvantages and to-solve-problems.</w:t>
            </w:r>
          </w:p>
          <w:p w:rsidR="00124FBF" w:rsidRPr="00782B03" w:rsidRDefault="00124FBF" w:rsidP="00CD0962">
            <w:pPr>
              <w:ind w:left="346" w:hanging="346"/>
              <w:jc w:val="both"/>
              <w:rPr>
                <w:rFonts w:ascii="Arial" w:hAnsi="Arial" w:cs="Arial"/>
                <w:lang w:val="en-US"/>
              </w:rPr>
            </w:pPr>
            <w:r w:rsidRPr="00782B03">
              <w:rPr>
                <w:rFonts w:ascii="Arial" w:hAnsi="Arial" w:cs="Arial"/>
                <w:lang w:val="en-US"/>
              </w:rPr>
              <w:t>6th week: Lipoids and lipids. Essential and conditionally essential fatty acids, omega-3 fatty acids. Their recommended intake amounts and sources</w:t>
            </w:r>
          </w:p>
          <w:p w:rsidR="00124FBF" w:rsidRPr="00782B03" w:rsidRDefault="00124FBF" w:rsidP="00CD0962">
            <w:pPr>
              <w:ind w:left="346" w:hanging="346"/>
              <w:jc w:val="both"/>
              <w:rPr>
                <w:rFonts w:ascii="Arial" w:hAnsi="Arial" w:cs="Arial"/>
                <w:lang w:val="en-US"/>
              </w:rPr>
            </w:pPr>
            <w:r w:rsidRPr="00782B03">
              <w:rPr>
                <w:rFonts w:ascii="Arial" w:hAnsi="Arial" w:cs="Arial"/>
                <w:lang w:val="en-US"/>
              </w:rPr>
              <w:t>7th week: Structure of protein building amino acids. Definition of non-essential, essential and conditionally essential amino acids. Amid and peptide bonds. Protein structures and shapes. Protein complementation, protein quality</w:t>
            </w:r>
          </w:p>
          <w:p w:rsidR="00124FBF" w:rsidRPr="00782B03" w:rsidRDefault="00124FBF" w:rsidP="00CD0962">
            <w:pPr>
              <w:ind w:left="346" w:hanging="346"/>
              <w:jc w:val="both"/>
              <w:rPr>
                <w:rFonts w:ascii="Arial" w:hAnsi="Arial" w:cs="Arial"/>
                <w:lang w:val="en-US"/>
              </w:rPr>
            </w:pPr>
            <w:r w:rsidRPr="00782B03">
              <w:rPr>
                <w:rFonts w:ascii="Arial" w:hAnsi="Arial" w:cs="Arial"/>
                <w:lang w:val="en-US"/>
              </w:rPr>
              <w:t xml:space="preserve">7th week: Water soluble vitamins – their structure, chemical composition, physiological role, symptoms of hypo- and </w:t>
            </w:r>
            <w:proofErr w:type="spellStart"/>
            <w:r w:rsidRPr="00782B03">
              <w:rPr>
                <w:rFonts w:ascii="Arial" w:hAnsi="Arial" w:cs="Arial"/>
                <w:lang w:val="en-US"/>
              </w:rPr>
              <w:t>avitaminosis</w:t>
            </w:r>
            <w:proofErr w:type="spellEnd"/>
            <w:r w:rsidRPr="00782B03">
              <w:rPr>
                <w:rFonts w:ascii="Arial" w:hAnsi="Arial" w:cs="Arial"/>
                <w:lang w:val="en-US"/>
              </w:rPr>
              <w:t>. RDA values</w:t>
            </w:r>
          </w:p>
          <w:p w:rsidR="00124FBF" w:rsidRPr="00782B03" w:rsidRDefault="00124FBF" w:rsidP="00CD0962">
            <w:pPr>
              <w:ind w:left="346" w:hanging="346"/>
              <w:jc w:val="both"/>
              <w:rPr>
                <w:rFonts w:ascii="Arial" w:hAnsi="Arial" w:cs="Arial"/>
                <w:lang w:val="en-US"/>
              </w:rPr>
            </w:pPr>
            <w:r w:rsidRPr="00782B03">
              <w:rPr>
                <w:rFonts w:ascii="Arial" w:hAnsi="Arial" w:cs="Arial"/>
                <w:lang w:val="en-US"/>
              </w:rPr>
              <w:t xml:space="preserve">8th week: Fat soluble vitamins (The “DEKA” vitamins) – their structure, chemical composition, physiological role, symptoms of hypo- and </w:t>
            </w:r>
            <w:proofErr w:type="spellStart"/>
            <w:r w:rsidRPr="00782B03">
              <w:rPr>
                <w:rFonts w:ascii="Arial" w:hAnsi="Arial" w:cs="Arial"/>
                <w:lang w:val="en-US"/>
              </w:rPr>
              <w:t>avitaminosis</w:t>
            </w:r>
            <w:proofErr w:type="spellEnd"/>
            <w:r w:rsidRPr="00782B03">
              <w:rPr>
                <w:rFonts w:ascii="Arial" w:hAnsi="Arial" w:cs="Arial"/>
                <w:lang w:val="en-US"/>
              </w:rPr>
              <w:t xml:space="preserve">, reason and symptoms of </w:t>
            </w:r>
            <w:proofErr w:type="spellStart"/>
            <w:r w:rsidRPr="00782B03">
              <w:rPr>
                <w:rFonts w:ascii="Arial" w:hAnsi="Arial" w:cs="Arial"/>
                <w:lang w:val="en-US"/>
              </w:rPr>
              <w:t>hypervitaminosis</w:t>
            </w:r>
            <w:proofErr w:type="spellEnd"/>
            <w:r w:rsidRPr="00782B03">
              <w:rPr>
                <w:rFonts w:ascii="Arial" w:hAnsi="Arial" w:cs="Arial"/>
                <w:lang w:val="en-US"/>
              </w:rPr>
              <w:t>. Night blindness, rickets. Natural sources of A-, D-, E- and K-vitamins</w:t>
            </w:r>
          </w:p>
          <w:p w:rsidR="00124FBF" w:rsidRPr="00782B03" w:rsidRDefault="00124FBF" w:rsidP="00CD0962">
            <w:pPr>
              <w:ind w:left="346" w:hanging="346"/>
              <w:jc w:val="both"/>
              <w:rPr>
                <w:rFonts w:ascii="Arial" w:hAnsi="Arial" w:cs="Arial"/>
                <w:lang w:val="en-US"/>
              </w:rPr>
            </w:pPr>
            <w:r w:rsidRPr="00782B03">
              <w:rPr>
                <w:rFonts w:ascii="Arial" w:hAnsi="Arial" w:cs="Arial"/>
                <w:lang w:val="en-US"/>
              </w:rPr>
              <w:t>9th week: Energy metabolism. Synthesis of ATP molecules: Reactions and energetic results of citric acid cycle (</w:t>
            </w:r>
            <w:proofErr w:type="spellStart"/>
            <w:r w:rsidRPr="00782B03">
              <w:rPr>
                <w:rFonts w:ascii="Arial" w:hAnsi="Arial" w:cs="Arial"/>
                <w:lang w:val="en-US"/>
              </w:rPr>
              <w:t>Szent-Györgyi</w:t>
            </w:r>
            <w:proofErr w:type="spellEnd"/>
            <w:r w:rsidRPr="00782B03">
              <w:rPr>
                <w:rFonts w:ascii="Arial" w:hAnsi="Arial" w:cs="Arial"/>
                <w:lang w:val="en-US"/>
              </w:rPr>
              <w:t> - Krebs cycle) and the sequential oxidative phosphorylation processes</w:t>
            </w:r>
          </w:p>
          <w:p w:rsidR="00124FBF" w:rsidRPr="00782B03" w:rsidRDefault="00124FBF" w:rsidP="00CD0962">
            <w:pPr>
              <w:ind w:left="346" w:hanging="346"/>
              <w:jc w:val="both"/>
              <w:rPr>
                <w:rFonts w:ascii="Arial" w:hAnsi="Arial" w:cs="Arial"/>
                <w:lang w:val="en-US"/>
              </w:rPr>
            </w:pPr>
            <w:r w:rsidRPr="00782B03">
              <w:rPr>
                <w:rFonts w:ascii="Arial" w:hAnsi="Arial" w:cs="Arial"/>
                <w:lang w:val="en-US"/>
              </w:rPr>
              <w:t>10th week: Energy balances and body weight regulation. Basal metabolic rate (BMR), basal energy expenditure (BEE), resting metabolic rate (RMR), resting energy expenditure (REE), standard metabolic rate (SMR)</w:t>
            </w:r>
          </w:p>
          <w:p w:rsidR="00124FBF" w:rsidRPr="00782B03" w:rsidRDefault="00124FBF" w:rsidP="00CD0962">
            <w:pPr>
              <w:ind w:left="346" w:hanging="346"/>
              <w:jc w:val="both"/>
              <w:rPr>
                <w:rFonts w:ascii="Arial" w:hAnsi="Arial" w:cs="Arial"/>
                <w:lang w:val="en-US"/>
              </w:rPr>
            </w:pPr>
            <w:r w:rsidRPr="00782B03">
              <w:rPr>
                <w:rFonts w:ascii="Arial" w:hAnsi="Arial" w:cs="Arial"/>
                <w:lang w:val="en-US"/>
              </w:rPr>
              <w:t>11th week: Structure and functions of gastro-internal hormones</w:t>
            </w:r>
          </w:p>
          <w:p w:rsidR="00124FBF" w:rsidRPr="00782B03" w:rsidRDefault="00124FBF" w:rsidP="00CD0962">
            <w:pPr>
              <w:keepLines/>
              <w:widowControl w:val="0"/>
              <w:ind w:left="346" w:hanging="346"/>
              <w:jc w:val="both"/>
              <w:rPr>
                <w:rFonts w:ascii="Arial" w:hAnsi="Arial" w:cs="Arial"/>
                <w:lang w:val="en-US"/>
              </w:rPr>
            </w:pPr>
            <w:r w:rsidRPr="00782B03">
              <w:rPr>
                <w:rFonts w:ascii="Arial" w:hAnsi="Arial" w:cs="Arial"/>
                <w:lang w:val="en-US"/>
              </w:rPr>
              <w:t>12th week: Cholesterols and their problems.</w:t>
            </w:r>
          </w:p>
          <w:p w:rsidR="00124FBF" w:rsidRPr="00782B03" w:rsidRDefault="00124FBF" w:rsidP="00CD0962">
            <w:pPr>
              <w:ind w:left="346" w:hanging="346"/>
              <w:jc w:val="both"/>
              <w:rPr>
                <w:rFonts w:ascii="Arial" w:hAnsi="Arial" w:cs="Arial"/>
                <w:lang w:val="en-US"/>
              </w:rPr>
            </w:pPr>
            <w:r w:rsidRPr="00782B03">
              <w:rPr>
                <w:rFonts w:ascii="Arial" w:hAnsi="Arial" w:cs="Arial"/>
                <w:lang w:val="en-US"/>
              </w:rPr>
              <w:t>13th week: Lactose intolerance: reason and symptoms. Geographical differences of lactose intolerance. Possible solutions</w:t>
            </w:r>
          </w:p>
          <w:p w:rsidR="00124FBF" w:rsidRPr="00782B03" w:rsidRDefault="00124FBF" w:rsidP="00CD0962">
            <w:pPr>
              <w:suppressAutoHyphens/>
              <w:ind w:left="346" w:hanging="346"/>
              <w:jc w:val="both"/>
              <w:rPr>
                <w:rFonts w:ascii="Arial" w:eastAsia="Times New Roman" w:hAnsi="Arial" w:cs="Arial"/>
                <w:lang w:val="en-US"/>
              </w:rPr>
            </w:pPr>
            <w:r w:rsidRPr="00782B03">
              <w:rPr>
                <w:rFonts w:ascii="Arial" w:hAnsi="Arial" w:cs="Arial"/>
                <w:lang w:val="en-US"/>
              </w:rPr>
              <w:t xml:space="preserve">14th week: Vegan diet. </w:t>
            </w:r>
            <w:proofErr w:type="spellStart"/>
            <w:r w:rsidRPr="00782B03">
              <w:rPr>
                <w:rFonts w:ascii="Arial" w:hAnsi="Arial" w:cs="Arial"/>
                <w:lang w:val="en-US"/>
              </w:rPr>
              <w:t>Anaemia</w:t>
            </w:r>
            <w:proofErr w:type="spellEnd"/>
            <w:r w:rsidRPr="00782B03">
              <w:rPr>
                <w:rFonts w:ascii="Arial" w:hAnsi="Arial" w:cs="Arial"/>
                <w:lang w:val="en-US"/>
              </w:rPr>
              <w:t>, iron deficiency and symptoms. Effect of “fashion diets” on the human body</w:t>
            </w:r>
          </w:p>
        </w:tc>
      </w:tr>
      <w:tr w:rsidR="00124FBF" w:rsidRPr="00782B03" w:rsidTr="00CD0962">
        <w:tc>
          <w:tcPr>
            <w:tcW w:w="9072"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vAlign w:val="center"/>
          </w:tcPr>
          <w:p w:rsidR="00124FBF" w:rsidRPr="00782B03" w:rsidRDefault="00124FBF" w:rsidP="00CD0962">
            <w:pPr>
              <w:suppressAutoHyphens/>
              <w:ind w:left="34"/>
              <w:jc w:val="both"/>
              <w:rPr>
                <w:rFonts w:ascii="Arial" w:eastAsia="Times New Roman" w:hAnsi="Arial" w:cs="Arial"/>
                <w:b/>
                <w:i/>
                <w:lang w:val="en-US"/>
              </w:rPr>
            </w:pPr>
            <w:r w:rsidRPr="00782B03">
              <w:rPr>
                <w:rFonts w:ascii="Arial" w:hAnsi="Arial" w:cs="Arial"/>
                <w:b/>
                <w:i/>
                <w:lang w:val="en-US"/>
              </w:rPr>
              <w:t>Compulsory literature:</w:t>
            </w:r>
          </w:p>
          <w:p w:rsidR="00124FBF" w:rsidRPr="00782B03" w:rsidRDefault="00124FBF" w:rsidP="00CD0962">
            <w:pPr>
              <w:suppressAutoHyphens/>
              <w:jc w:val="both"/>
              <w:rPr>
                <w:rFonts w:ascii="Arial" w:eastAsia="Times New Roman" w:hAnsi="Arial" w:cs="Arial"/>
                <w:lang w:val="en-US"/>
              </w:rPr>
            </w:pPr>
            <w:proofErr w:type="spellStart"/>
            <w:r w:rsidRPr="00782B03">
              <w:rPr>
                <w:rFonts w:ascii="Arial" w:hAnsi="Arial" w:cs="Arial"/>
                <w:lang w:val="en-US"/>
              </w:rPr>
              <w:t>Tarabella</w:t>
            </w:r>
            <w:proofErr w:type="spellEnd"/>
            <w:r w:rsidRPr="00782B03">
              <w:rPr>
                <w:rFonts w:ascii="Arial" w:hAnsi="Arial" w:cs="Arial"/>
                <w:lang w:val="en-US"/>
              </w:rPr>
              <w:t xml:space="preserve">, Angela – </w:t>
            </w:r>
            <w:proofErr w:type="spellStart"/>
            <w:r w:rsidRPr="00782B03">
              <w:rPr>
                <w:rFonts w:ascii="Arial" w:hAnsi="Arial" w:cs="Arial"/>
                <w:lang w:val="en-US"/>
              </w:rPr>
              <w:t>Burchi</w:t>
            </w:r>
            <w:proofErr w:type="spellEnd"/>
            <w:r w:rsidRPr="00782B03">
              <w:rPr>
                <w:rFonts w:ascii="Arial" w:hAnsi="Arial" w:cs="Arial"/>
                <w:lang w:val="en-US"/>
              </w:rPr>
              <w:t xml:space="preserve">, Barbara (2016): Aware Food Choices: Bridging the Gap Between Consumer Knowledge About Nutritional Requirements and Nutritional Information. Springer </w:t>
            </w:r>
            <w:proofErr w:type="spellStart"/>
            <w:r w:rsidRPr="00782B03">
              <w:rPr>
                <w:rFonts w:ascii="Arial" w:hAnsi="Arial" w:cs="Arial"/>
                <w:lang w:val="en-US"/>
              </w:rPr>
              <w:t>Verlag</w:t>
            </w:r>
            <w:proofErr w:type="spellEnd"/>
            <w:r w:rsidRPr="00782B03">
              <w:rPr>
                <w:rFonts w:ascii="Arial" w:hAnsi="Arial" w:cs="Arial"/>
                <w:lang w:val="en-US"/>
              </w:rPr>
              <w:t>, Berlin, Heidelberg. ISBN-13: 978-3-319-23856-2</w:t>
            </w:r>
          </w:p>
        </w:tc>
      </w:tr>
      <w:tr w:rsidR="00124FBF" w:rsidRPr="00782B03" w:rsidTr="00CD0962">
        <w:tc>
          <w:tcPr>
            <w:tcW w:w="9072"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124FBF" w:rsidRPr="00782B03" w:rsidRDefault="00124FBF" w:rsidP="00CD0962">
            <w:pPr>
              <w:suppressAutoHyphens/>
              <w:jc w:val="both"/>
              <w:rPr>
                <w:rFonts w:ascii="Arial" w:eastAsia="Times New Roman" w:hAnsi="Arial" w:cs="Arial"/>
                <w:lang w:val="en-US"/>
              </w:rPr>
            </w:pPr>
            <w:r w:rsidRPr="00782B03">
              <w:rPr>
                <w:rFonts w:ascii="Arial" w:hAnsi="Arial" w:cs="Arial"/>
                <w:b/>
                <w:lang w:val="en-US"/>
              </w:rPr>
              <w:t xml:space="preserve">Competencies gained </w:t>
            </w:r>
            <w:r w:rsidRPr="00782B03">
              <w:rPr>
                <w:rFonts w:ascii="Arial" w:hAnsi="Arial" w:cs="Arial"/>
                <w:i/>
                <w:lang w:val="en-US"/>
              </w:rPr>
              <w:t xml:space="preserve">(acc. to the Regulation on training and outcome </w:t>
            </w:r>
            <w:r w:rsidRPr="00782B03">
              <w:rPr>
                <w:rFonts w:ascii="Arial" w:hAnsi="Arial" w:cs="Arial"/>
                <w:i/>
                <w:iCs/>
                <w:lang w:val="en-US"/>
              </w:rPr>
              <w:t>requirements)</w:t>
            </w:r>
          </w:p>
        </w:tc>
      </w:tr>
      <w:tr w:rsidR="00124FBF" w:rsidRPr="00782B03" w:rsidTr="00CD0962">
        <w:trPr>
          <w:trHeight w:val="296"/>
        </w:trPr>
        <w:tc>
          <w:tcPr>
            <w:tcW w:w="9072"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124FBF" w:rsidRPr="00782B03" w:rsidRDefault="00124FBF" w:rsidP="00124FBF">
            <w:pPr>
              <w:numPr>
                <w:ilvl w:val="0"/>
                <w:numId w:val="47"/>
              </w:numPr>
              <w:tabs>
                <w:tab w:val="left" w:pos="317"/>
              </w:tabs>
              <w:suppressAutoHyphens/>
              <w:spacing w:after="0" w:line="240" w:lineRule="auto"/>
              <w:jc w:val="both"/>
              <w:rPr>
                <w:rFonts w:ascii="Arial" w:eastAsia="Times New Roman" w:hAnsi="Arial" w:cs="Arial"/>
                <w:b/>
                <w:lang w:val="en-US"/>
              </w:rPr>
            </w:pPr>
            <w:r w:rsidRPr="00782B03">
              <w:rPr>
                <w:rFonts w:ascii="Arial" w:hAnsi="Arial" w:cs="Arial"/>
                <w:b/>
                <w:lang w:val="en-US"/>
              </w:rPr>
              <w:t>Knowledge</w:t>
            </w:r>
          </w:p>
          <w:p w:rsidR="00124FBF" w:rsidRPr="00782B03" w:rsidRDefault="00124FBF" w:rsidP="00CD0962">
            <w:pPr>
              <w:tabs>
                <w:tab w:val="left" w:pos="317"/>
              </w:tabs>
              <w:suppressAutoHyphens/>
              <w:ind w:left="176"/>
              <w:jc w:val="both"/>
              <w:rPr>
                <w:rFonts w:ascii="Arial" w:hAnsi="Arial" w:cs="Arial"/>
                <w:lang w:val="en-US"/>
              </w:rPr>
            </w:pPr>
            <w:r w:rsidRPr="00782B03">
              <w:rPr>
                <w:rFonts w:ascii="Arial" w:hAnsi="Arial" w:cs="Arial"/>
                <w:lang w:val="en-US"/>
              </w:rPr>
              <w:t>Students learn about the general and specific characteristics of Nutrition knowledge, its boundaries, its directions of development, and their attachment to related subjects.</w:t>
            </w:r>
          </w:p>
          <w:p w:rsidR="00124FBF" w:rsidRPr="00782B03" w:rsidRDefault="00124FBF" w:rsidP="00124FBF">
            <w:pPr>
              <w:numPr>
                <w:ilvl w:val="0"/>
                <w:numId w:val="47"/>
              </w:numPr>
              <w:tabs>
                <w:tab w:val="left" w:pos="317"/>
              </w:tabs>
              <w:suppressAutoHyphens/>
              <w:spacing w:after="0" w:line="240" w:lineRule="auto"/>
              <w:ind w:left="176" w:hanging="142"/>
              <w:jc w:val="both"/>
              <w:rPr>
                <w:rFonts w:ascii="Arial" w:hAnsi="Arial" w:cs="Arial"/>
                <w:b/>
                <w:lang w:val="en-US"/>
              </w:rPr>
            </w:pPr>
            <w:r w:rsidRPr="00782B03">
              <w:rPr>
                <w:rFonts w:ascii="Arial" w:hAnsi="Arial" w:cs="Arial"/>
                <w:b/>
                <w:lang w:val="en-US"/>
              </w:rPr>
              <w:t>Ability</w:t>
            </w:r>
          </w:p>
          <w:p w:rsidR="00124FBF" w:rsidRPr="00782B03" w:rsidRDefault="00124FBF" w:rsidP="00CD0962">
            <w:pPr>
              <w:tabs>
                <w:tab w:val="left" w:pos="317"/>
              </w:tabs>
              <w:suppressAutoHyphens/>
              <w:ind w:left="176"/>
              <w:jc w:val="both"/>
              <w:rPr>
                <w:rFonts w:ascii="Arial" w:hAnsi="Arial" w:cs="Arial"/>
                <w:szCs w:val="20"/>
                <w:lang w:val="en-US"/>
              </w:rPr>
            </w:pPr>
            <w:r w:rsidRPr="00782B03">
              <w:rPr>
                <w:rFonts w:ascii="Arial" w:hAnsi="Arial" w:cs="Arial"/>
                <w:lang w:val="en-US"/>
              </w:rPr>
              <w:t>Students are able to develop effective self-education, to plan and organize one's own learning, and to find the necessary resources for this.</w:t>
            </w:r>
          </w:p>
          <w:p w:rsidR="00124FBF" w:rsidRPr="00782B03" w:rsidRDefault="00124FBF" w:rsidP="00124FBF">
            <w:pPr>
              <w:numPr>
                <w:ilvl w:val="0"/>
                <w:numId w:val="47"/>
              </w:numPr>
              <w:tabs>
                <w:tab w:val="left" w:pos="317"/>
              </w:tabs>
              <w:suppressAutoHyphens/>
              <w:spacing w:after="0" w:line="240" w:lineRule="auto"/>
              <w:ind w:left="176" w:hanging="142"/>
              <w:jc w:val="both"/>
              <w:rPr>
                <w:rFonts w:ascii="Arial" w:hAnsi="Arial" w:cs="Arial"/>
                <w:b/>
                <w:lang w:val="en-US"/>
              </w:rPr>
            </w:pPr>
            <w:r w:rsidRPr="00782B03">
              <w:rPr>
                <w:rFonts w:ascii="Arial" w:hAnsi="Arial" w:cs="Arial"/>
                <w:b/>
                <w:lang w:val="en-US"/>
              </w:rPr>
              <w:t>Attitude:</w:t>
            </w:r>
          </w:p>
          <w:p w:rsidR="00124FBF" w:rsidRPr="00782B03" w:rsidRDefault="00124FBF" w:rsidP="00CD0962">
            <w:pPr>
              <w:suppressAutoHyphens/>
              <w:ind w:left="176"/>
              <w:jc w:val="both"/>
              <w:rPr>
                <w:rFonts w:ascii="Arial" w:hAnsi="Arial" w:cs="Arial"/>
                <w:lang w:val="en-US"/>
              </w:rPr>
            </w:pPr>
            <w:r w:rsidRPr="00782B03">
              <w:rPr>
                <w:rFonts w:ascii="Arial" w:hAnsi="Arial" w:cs="Arial"/>
                <w:lang w:val="en-US"/>
              </w:rPr>
              <w:t>Student has a strong professional identity and professionalism that she/he can take for professional and wider social community.</w:t>
            </w:r>
          </w:p>
          <w:p w:rsidR="00124FBF" w:rsidRPr="00782B03" w:rsidRDefault="00124FBF" w:rsidP="00124FBF">
            <w:pPr>
              <w:numPr>
                <w:ilvl w:val="0"/>
                <w:numId w:val="47"/>
              </w:numPr>
              <w:tabs>
                <w:tab w:val="left" w:pos="317"/>
              </w:tabs>
              <w:suppressAutoHyphens/>
              <w:spacing w:after="0" w:line="240" w:lineRule="auto"/>
              <w:jc w:val="both"/>
              <w:rPr>
                <w:rFonts w:ascii="Arial" w:hAnsi="Arial" w:cs="Arial"/>
                <w:b/>
                <w:lang w:val="en-US"/>
              </w:rPr>
            </w:pPr>
            <w:r w:rsidRPr="00782B03">
              <w:rPr>
                <w:rFonts w:ascii="Arial" w:hAnsi="Arial" w:cs="Arial"/>
                <w:b/>
                <w:lang w:val="en-US"/>
              </w:rPr>
              <w:t>Autonomy and responsibility:</w:t>
            </w:r>
          </w:p>
          <w:p w:rsidR="00124FBF" w:rsidRPr="00782B03" w:rsidRDefault="00124FBF" w:rsidP="00CD0962">
            <w:pPr>
              <w:suppressAutoHyphens/>
              <w:ind w:left="176"/>
              <w:jc w:val="both"/>
              <w:rPr>
                <w:rFonts w:ascii="Arial" w:eastAsia="Times New Roman" w:hAnsi="Arial" w:cs="Arial"/>
                <w:lang w:val="en-US"/>
              </w:rPr>
            </w:pPr>
            <w:r w:rsidRPr="00782B03">
              <w:rPr>
                <w:rFonts w:ascii="Arial" w:hAnsi="Arial" w:cs="Arial"/>
                <w:lang w:val="en-US"/>
              </w:rPr>
              <w:t>Committed to food quality, safety, and environmentally friendly solutions, supporting the health of the individual and society.</w:t>
            </w:r>
          </w:p>
        </w:tc>
      </w:tr>
    </w:tbl>
    <w:p w:rsidR="00124FBF" w:rsidRPr="00782B03" w:rsidRDefault="00124FBF" w:rsidP="00124FBF">
      <w:pPr>
        <w:suppressAutoHyphens/>
        <w:jc w:val="both"/>
        <w:rPr>
          <w:rFonts w:ascii="Arial" w:eastAsia="Times New Roman" w:hAnsi="Arial" w:cs="Arial"/>
          <w:sz w:val="2"/>
          <w:szCs w:val="2"/>
          <w:lang w:val="en-US"/>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124FBF" w:rsidRPr="00782B03" w:rsidTr="00CD0962">
        <w:trPr>
          <w:trHeight w:val="338"/>
        </w:trPr>
        <w:tc>
          <w:tcPr>
            <w:tcW w:w="907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124FBF" w:rsidRPr="00782B03" w:rsidRDefault="00124FBF" w:rsidP="00CD0962">
            <w:pPr>
              <w:suppressAutoHyphens/>
              <w:spacing w:before="60"/>
              <w:jc w:val="both"/>
              <w:rPr>
                <w:rFonts w:ascii="Arial" w:eastAsia="Times New Roman" w:hAnsi="Arial" w:cs="Arial"/>
                <w:b/>
                <w:lang w:val="en-US"/>
              </w:rPr>
            </w:pPr>
            <w:r w:rsidRPr="00782B03">
              <w:rPr>
                <w:rFonts w:ascii="Arial" w:hAnsi="Arial" w:cs="Arial"/>
                <w:b/>
                <w:lang w:val="en-US"/>
              </w:rPr>
              <w:t>Responsible lecturer:</w:t>
            </w:r>
          </w:p>
          <w:p w:rsidR="00124FBF" w:rsidRPr="00782B03" w:rsidRDefault="00124FBF" w:rsidP="00CD0962">
            <w:pPr>
              <w:suppressAutoHyphens/>
              <w:spacing w:before="60"/>
              <w:jc w:val="both"/>
              <w:rPr>
                <w:rFonts w:ascii="Arial" w:eastAsia="Times New Roman" w:hAnsi="Arial" w:cs="Arial"/>
                <w:b/>
                <w:lang w:val="en-US"/>
              </w:rPr>
            </w:pPr>
            <w:r w:rsidRPr="00782B03">
              <w:rPr>
                <w:rFonts w:ascii="Arial" w:hAnsi="Arial" w:cs="Arial"/>
                <w:b/>
                <w:lang w:val="en-US"/>
              </w:rPr>
              <w:t xml:space="preserve">Assoc. Professor Dr. </w:t>
            </w:r>
            <w:proofErr w:type="spellStart"/>
            <w:r w:rsidRPr="00782B03">
              <w:rPr>
                <w:rFonts w:ascii="Arial" w:hAnsi="Arial" w:cs="Arial"/>
                <w:b/>
                <w:lang w:val="en-US"/>
              </w:rPr>
              <w:t>habil</w:t>
            </w:r>
            <w:proofErr w:type="spellEnd"/>
            <w:r w:rsidRPr="00782B03">
              <w:rPr>
                <w:rFonts w:ascii="Arial" w:hAnsi="Arial" w:cs="Arial"/>
                <w:b/>
                <w:lang w:val="en-US"/>
              </w:rPr>
              <w:t xml:space="preserve">. </w:t>
            </w:r>
            <w:proofErr w:type="spellStart"/>
            <w:r w:rsidRPr="00782B03">
              <w:rPr>
                <w:rFonts w:ascii="Arial" w:hAnsi="Arial" w:cs="Arial"/>
                <w:b/>
                <w:lang w:val="en-US"/>
              </w:rPr>
              <w:t>Imre</w:t>
            </w:r>
            <w:proofErr w:type="spellEnd"/>
            <w:r w:rsidRPr="00782B03">
              <w:rPr>
                <w:rFonts w:ascii="Arial" w:hAnsi="Arial" w:cs="Arial"/>
                <w:b/>
                <w:lang w:val="en-US"/>
              </w:rPr>
              <w:t xml:space="preserve"> </w:t>
            </w:r>
            <w:proofErr w:type="spellStart"/>
            <w:r w:rsidRPr="00782B03">
              <w:rPr>
                <w:rFonts w:ascii="Arial" w:hAnsi="Arial" w:cs="Arial"/>
                <w:b/>
                <w:lang w:val="en-US"/>
              </w:rPr>
              <w:t>Vágó</w:t>
            </w:r>
            <w:proofErr w:type="spellEnd"/>
            <w:r w:rsidRPr="00782B03">
              <w:rPr>
                <w:rFonts w:ascii="Arial" w:hAnsi="Arial" w:cs="Arial"/>
                <w:b/>
                <w:lang w:val="en-US"/>
              </w:rPr>
              <w:t xml:space="preserve">, </w:t>
            </w:r>
            <w:proofErr w:type="spellStart"/>
            <w:r w:rsidRPr="00782B03">
              <w:rPr>
                <w:rFonts w:ascii="Arial" w:hAnsi="Arial" w:cs="Arial"/>
                <w:b/>
                <w:lang w:val="en-US"/>
              </w:rPr>
              <w:t>CSc</w:t>
            </w:r>
            <w:proofErr w:type="spellEnd"/>
            <w:r w:rsidRPr="00782B03">
              <w:rPr>
                <w:rFonts w:ascii="Arial" w:hAnsi="Arial" w:cs="Arial"/>
                <w:b/>
                <w:lang w:val="en-US"/>
              </w:rPr>
              <w:t>, deputy head of Institute</w:t>
            </w:r>
          </w:p>
        </w:tc>
      </w:tr>
      <w:tr w:rsidR="00124FBF" w:rsidRPr="00782B03" w:rsidTr="00CD0962">
        <w:trPr>
          <w:trHeight w:val="337"/>
        </w:trPr>
        <w:tc>
          <w:tcPr>
            <w:tcW w:w="907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124FBF" w:rsidRPr="00782B03" w:rsidRDefault="00124FBF" w:rsidP="00CD0962">
            <w:pPr>
              <w:suppressAutoHyphens/>
              <w:spacing w:before="60"/>
              <w:jc w:val="both"/>
              <w:rPr>
                <w:rFonts w:ascii="Arial" w:eastAsia="Times New Roman" w:hAnsi="Arial" w:cs="Arial"/>
                <w:b/>
                <w:lang w:val="en-US"/>
              </w:rPr>
            </w:pPr>
            <w:r w:rsidRPr="00782B03">
              <w:rPr>
                <w:rFonts w:ascii="Arial" w:hAnsi="Arial" w:cs="Arial"/>
                <w:b/>
                <w:lang w:val="en-US"/>
              </w:rPr>
              <w:t xml:space="preserve">Other lecturer: </w:t>
            </w:r>
            <w:r w:rsidRPr="00782B03">
              <w:rPr>
                <w:rFonts w:ascii="Arial" w:hAnsi="Arial" w:cs="Arial"/>
                <w:lang w:val="en-US"/>
              </w:rPr>
              <w:t>-</w:t>
            </w:r>
          </w:p>
        </w:tc>
      </w:tr>
      <w:tr w:rsidR="00124FBF" w:rsidRPr="00782B03" w:rsidTr="00CD0962">
        <w:trPr>
          <w:trHeight w:val="337"/>
        </w:trPr>
        <w:tc>
          <w:tcPr>
            <w:tcW w:w="907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124FBF" w:rsidRPr="00782B03" w:rsidRDefault="00124FBF" w:rsidP="00CD0962">
            <w:pPr>
              <w:suppressAutoHyphens/>
              <w:spacing w:before="60"/>
              <w:jc w:val="both"/>
              <w:rPr>
                <w:rFonts w:ascii="Arial" w:eastAsia="Times New Roman" w:hAnsi="Arial" w:cs="Arial"/>
                <w:b/>
                <w:lang w:val="en-US"/>
              </w:rPr>
            </w:pPr>
            <w:r w:rsidRPr="00782B03">
              <w:rPr>
                <w:rFonts w:ascii="Arial" w:hAnsi="Arial" w:cs="Arial"/>
                <w:b/>
                <w:lang w:val="en-US"/>
              </w:rPr>
              <w:t>Form of examination:</w:t>
            </w:r>
          </w:p>
          <w:p w:rsidR="00124FBF" w:rsidRPr="00782B03" w:rsidRDefault="00124FBF" w:rsidP="00CD0962">
            <w:pPr>
              <w:suppressAutoHyphens/>
              <w:spacing w:before="60"/>
              <w:jc w:val="both"/>
              <w:rPr>
                <w:rFonts w:ascii="Arial" w:eastAsia="Times New Roman" w:hAnsi="Arial" w:cs="Arial"/>
                <w:b/>
                <w:lang w:val="en-US"/>
              </w:rPr>
            </w:pPr>
            <w:r w:rsidRPr="00782B03">
              <w:rPr>
                <w:rFonts w:ascii="Arial" w:hAnsi="Arial" w:cs="Arial"/>
                <w:b/>
                <w:lang w:val="en-US"/>
              </w:rPr>
              <w:t xml:space="preserve">Oral (preferred) and/or written </w:t>
            </w:r>
            <w:r w:rsidRPr="00782B03">
              <w:rPr>
                <w:rFonts w:ascii="Arial" w:hAnsi="Arial" w:cs="Arial"/>
                <w:lang w:val="en-US"/>
              </w:rPr>
              <w:t>(only if the subject is signed)</w:t>
            </w:r>
          </w:p>
        </w:tc>
      </w:tr>
      <w:tr w:rsidR="00124FBF" w:rsidRPr="00782B03" w:rsidTr="00CD0962">
        <w:trPr>
          <w:trHeight w:val="337"/>
        </w:trPr>
        <w:tc>
          <w:tcPr>
            <w:tcW w:w="907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124FBF" w:rsidRPr="00782B03" w:rsidRDefault="00124FBF" w:rsidP="00CD0962">
            <w:pPr>
              <w:suppressAutoHyphens/>
              <w:spacing w:before="60"/>
              <w:jc w:val="both"/>
              <w:rPr>
                <w:rFonts w:ascii="Arial" w:eastAsia="Times New Roman" w:hAnsi="Arial" w:cs="Arial"/>
                <w:b/>
                <w:lang w:val="en-US"/>
              </w:rPr>
            </w:pPr>
            <w:r w:rsidRPr="00782B03">
              <w:rPr>
                <w:rFonts w:ascii="Arial" w:hAnsi="Arial" w:cs="Arial"/>
                <w:b/>
                <w:lang w:val="en-US"/>
              </w:rPr>
              <w:t>Requirement(s) to get signature:</w:t>
            </w:r>
          </w:p>
          <w:p w:rsidR="00124FBF" w:rsidRPr="00782B03" w:rsidRDefault="00124FBF" w:rsidP="00CD0962">
            <w:pPr>
              <w:suppressAutoHyphens/>
              <w:ind w:left="176"/>
              <w:jc w:val="both"/>
              <w:rPr>
                <w:rFonts w:ascii="Arial" w:hAnsi="Arial" w:cs="Arial"/>
                <w:szCs w:val="20"/>
                <w:lang w:val="en-US"/>
              </w:rPr>
            </w:pPr>
            <w:r w:rsidRPr="00782B03">
              <w:rPr>
                <w:rFonts w:ascii="Arial" w:hAnsi="Arial" w:cs="Arial"/>
                <w:lang w:val="en-US"/>
              </w:rPr>
              <w:t>Attendance at lectures is not compulsory, but highly recommended!</w:t>
            </w:r>
          </w:p>
          <w:p w:rsidR="00124FBF" w:rsidRPr="00782B03" w:rsidRDefault="00124FBF" w:rsidP="00CD0962">
            <w:pPr>
              <w:suppressAutoHyphens/>
              <w:ind w:left="176"/>
              <w:jc w:val="both"/>
              <w:rPr>
                <w:rFonts w:ascii="Arial" w:eastAsia="Times New Roman" w:hAnsi="Arial" w:cs="Arial"/>
                <w:lang w:val="en-US"/>
              </w:rPr>
            </w:pPr>
            <w:r w:rsidRPr="00782B03">
              <w:rPr>
                <w:rFonts w:ascii="Arial" w:hAnsi="Arial" w:cs="Arial"/>
                <w:lang w:val="en-US"/>
              </w:rPr>
              <w:t>As an individual activity, all of the students have to complete and present to the other students two power point presentations. The theme of it will be jointly decided by the student and the lecturer. Form and content of presentations will be discussed by the group members, and will be accepted or denied. The denied presentation must be repeated. Requirement to get signature is, two accepted .</w:t>
            </w:r>
            <w:proofErr w:type="spellStart"/>
            <w:r w:rsidRPr="00782B03">
              <w:rPr>
                <w:rFonts w:ascii="Arial" w:hAnsi="Arial" w:cs="Arial"/>
                <w:lang w:val="en-US"/>
              </w:rPr>
              <w:t>ppt</w:t>
            </w:r>
            <w:proofErr w:type="spellEnd"/>
            <w:r w:rsidRPr="00782B03">
              <w:rPr>
                <w:rFonts w:ascii="Arial" w:hAnsi="Arial" w:cs="Arial"/>
                <w:lang w:val="en-US"/>
              </w:rPr>
              <w:t>-presentations.</w:t>
            </w:r>
          </w:p>
        </w:tc>
      </w:tr>
    </w:tbl>
    <w:p w:rsidR="00F42A96" w:rsidRPr="00124FBF" w:rsidRDefault="00F42A96" w:rsidP="00124FBF"/>
    <w:sectPr w:rsidR="00F42A96" w:rsidRPr="00124F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467A1"/>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 w15:restartNumberingAfterBreak="0">
    <w:nsid w:val="02C314D2"/>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2" w15:restartNumberingAfterBreak="0">
    <w:nsid w:val="06EE0354"/>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3" w15:restartNumberingAfterBreak="0">
    <w:nsid w:val="097E6AF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4" w15:restartNumberingAfterBreak="0">
    <w:nsid w:val="0A520C89"/>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5" w15:restartNumberingAfterBreak="0">
    <w:nsid w:val="0BB42D88"/>
    <w:multiLevelType w:val="hybridMultilevel"/>
    <w:tmpl w:val="C5BAEE80"/>
    <w:lvl w:ilvl="0" w:tplc="4714228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C752F9"/>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0DA17FB2"/>
    <w:multiLevelType w:val="hybridMultilevel"/>
    <w:tmpl w:val="E652929A"/>
    <w:lvl w:ilvl="0" w:tplc="F3A6E9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0B7E92"/>
    <w:multiLevelType w:val="hybridMultilevel"/>
    <w:tmpl w:val="ED7EC348"/>
    <w:lvl w:ilvl="0" w:tplc="F3A6E9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8B1CA8"/>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0" w15:restartNumberingAfterBreak="0">
    <w:nsid w:val="1B3B6234"/>
    <w:multiLevelType w:val="hybridMultilevel"/>
    <w:tmpl w:val="CB4CD3D4"/>
    <w:lvl w:ilvl="0" w:tplc="040E000F">
      <w:start w:val="1"/>
      <w:numFmt w:val="decimal"/>
      <w:lvlText w:val="%1."/>
      <w:lvlJc w:val="left"/>
      <w:pPr>
        <w:ind w:left="720" w:hanging="360"/>
      </w:p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1" w15:restartNumberingAfterBreak="0">
    <w:nsid w:val="1E2E744F"/>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2" w15:restartNumberingAfterBreak="0">
    <w:nsid w:val="20AF16C1"/>
    <w:multiLevelType w:val="hybridMultilevel"/>
    <w:tmpl w:val="B44C6BD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0F22683"/>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4" w15:restartNumberingAfterBreak="0">
    <w:nsid w:val="216B43D1"/>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5" w15:restartNumberingAfterBreak="0">
    <w:nsid w:val="32065811"/>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6" w15:restartNumberingAfterBreak="0">
    <w:nsid w:val="32825B37"/>
    <w:multiLevelType w:val="hybridMultilevel"/>
    <w:tmpl w:val="4B403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C01694"/>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8" w15:restartNumberingAfterBreak="0">
    <w:nsid w:val="350C4E34"/>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38570E52"/>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20" w15:restartNumberingAfterBreak="0">
    <w:nsid w:val="392862D7"/>
    <w:multiLevelType w:val="hybridMultilevel"/>
    <w:tmpl w:val="54246132"/>
    <w:lvl w:ilvl="0" w:tplc="040E0001">
      <w:start w:val="1"/>
      <w:numFmt w:val="bullet"/>
      <w:lvlText w:val=""/>
      <w:lvlJc w:val="left"/>
      <w:pPr>
        <w:ind w:left="754" w:hanging="360"/>
      </w:pPr>
      <w:rPr>
        <w:rFonts w:ascii="Symbol" w:hAnsi="Symbol" w:hint="default"/>
      </w:r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21" w15:restartNumberingAfterBreak="0">
    <w:nsid w:val="3CE00E6D"/>
    <w:multiLevelType w:val="hybridMultilevel"/>
    <w:tmpl w:val="B44C6BD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2" w15:restartNumberingAfterBreak="0">
    <w:nsid w:val="3D6F0F43"/>
    <w:multiLevelType w:val="hybridMultilevel"/>
    <w:tmpl w:val="CF966528"/>
    <w:lvl w:ilvl="0" w:tplc="A98E15BA">
      <w:start w:val="1"/>
      <w:numFmt w:val="decimal"/>
      <w:suff w:val="space"/>
      <w:lvlText w:val="%1."/>
      <w:lvlJc w:val="left"/>
      <w:pPr>
        <w:ind w:left="0" w:firstLine="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3D9531DC"/>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24" w15:restartNumberingAfterBreak="0">
    <w:nsid w:val="41AB719F"/>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25" w15:restartNumberingAfterBreak="0">
    <w:nsid w:val="428F1741"/>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26" w15:restartNumberingAfterBreak="0">
    <w:nsid w:val="4BC9126E"/>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27" w15:restartNumberingAfterBreak="0">
    <w:nsid w:val="52A836F5"/>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28" w15:restartNumberingAfterBreak="0">
    <w:nsid w:val="52FD06E8"/>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29" w15:restartNumberingAfterBreak="0">
    <w:nsid w:val="58352FDD"/>
    <w:multiLevelType w:val="hybridMultilevel"/>
    <w:tmpl w:val="E4AEA00C"/>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30" w15:restartNumberingAfterBreak="0">
    <w:nsid w:val="5B545CB4"/>
    <w:multiLevelType w:val="hybridMultilevel"/>
    <w:tmpl w:val="46708974"/>
    <w:lvl w:ilvl="0" w:tplc="F3A6E998">
      <w:start w:val="1"/>
      <w:numFmt w:val="bullet"/>
      <w:lvlText w:val=""/>
      <w:lvlJc w:val="left"/>
      <w:pPr>
        <w:ind w:left="1005" w:hanging="360"/>
      </w:pPr>
      <w:rPr>
        <w:rFonts w:ascii="Symbol" w:hAnsi="Symbol" w:hint="default"/>
      </w:rPr>
    </w:lvl>
    <w:lvl w:ilvl="1" w:tplc="040E0003" w:tentative="1">
      <w:start w:val="1"/>
      <w:numFmt w:val="bullet"/>
      <w:lvlText w:val="o"/>
      <w:lvlJc w:val="left"/>
      <w:pPr>
        <w:ind w:left="1725" w:hanging="360"/>
      </w:pPr>
      <w:rPr>
        <w:rFonts w:ascii="Courier New" w:hAnsi="Courier New" w:cs="Courier New" w:hint="default"/>
      </w:rPr>
    </w:lvl>
    <w:lvl w:ilvl="2" w:tplc="040E0005" w:tentative="1">
      <w:start w:val="1"/>
      <w:numFmt w:val="bullet"/>
      <w:lvlText w:val=""/>
      <w:lvlJc w:val="left"/>
      <w:pPr>
        <w:ind w:left="2445" w:hanging="360"/>
      </w:pPr>
      <w:rPr>
        <w:rFonts w:ascii="Wingdings" w:hAnsi="Wingdings" w:hint="default"/>
      </w:rPr>
    </w:lvl>
    <w:lvl w:ilvl="3" w:tplc="040E0001" w:tentative="1">
      <w:start w:val="1"/>
      <w:numFmt w:val="bullet"/>
      <w:lvlText w:val=""/>
      <w:lvlJc w:val="left"/>
      <w:pPr>
        <w:ind w:left="3165" w:hanging="360"/>
      </w:pPr>
      <w:rPr>
        <w:rFonts w:ascii="Symbol" w:hAnsi="Symbol" w:hint="default"/>
      </w:rPr>
    </w:lvl>
    <w:lvl w:ilvl="4" w:tplc="040E0003" w:tentative="1">
      <w:start w:val="1"/>
      <w:numFmt w:val="bullet"/>
      <w:lvlText w:val="o"/>
      <w:lvlJc w:val="left"/>
      <w:pPr>
        <w:ind w:left="3885" w:hanging="360"/>
      </w:pPr>
      <w:rPr>
        <w:rFonts w:ascii="Courier New" w:hAnsi="Courier New" w:cs="Courier New" w:hint="default"/>
      </w:rPr>
    </w:lvl>
    <w:lvl w:ilvl="5" w:tplc="040E0005" w:tentative="1">
      <w:start w:val="1"/>
      <w:numFmt w:val="bullet"/>
      <w:lvlText w:val=""/>
      <w:lvlJc w:val="left"/>
      <w:pPr>
        <w:ind w:left="4605" w:hanging="360"/>
      </w:pPr>
      <w:rPr>
        <w:rFonts w:ascii="Wingdings" w:hAnsi="Wingdings" w:hint="default"/>
      </w:rPr>
    </w:lvl>
    <w:lvl w:ilvl="6" w:tplc="040E0001" w:tentative="1">
      <w:start w:val="1"/>
      <w:numFmt w:val="bullet"/>
      <w:lvlText w:val=""/>
      <w:lvlJc w:val="left"/>
      <w:pPr>
        <w:ind w:left="5325" w:hanging="360"/>
      </w:pPr>
      <w:rPr>
        <w:rFonts w:ascii="Symbol" w:hAnsi="Symbol" w:hint="default"/>
      </w:rPr>
    </w:lvl>
    <w:lvl w:ilvl="7" w:tplc="040E0003" w:tentative="1">
      <w:start w:val="1"/>
      <w:numFmt w:val="bullet"/>
      <w:lvlText w:val="o"/>
      <w:lvlJc w:val="left"/>
      <w:pPr>
        <w:ind w:left="6045" w:hanging="360"/>
      </w:pPr>
      <w:rPr>
        <w:rFonts w:ascii="Courier New" w:hAnsi="Courier New" w:cs="Courier New" w:hint="default"/>
      </w:rPr>
    </w:lvl>
    <w:lvl w:ilvl="8" w:tplc="040E0005" w:tentative="1">
      <w:start w:val="1"/>
      <w:numFmt w:val="bullet"/>
      <w:lvlText w:val=""/>
      <w:lvlJc w:val="left"/>
      <w:pPr>
        <w:ind w:left="6765" w:hanging="360"/>
      </w:pPr>
      <w:rPr>
        <w:rFonts w:ascii="Wingdings" w:hAnsi="Wingdings" w:hint="default"/>
      </w:rPr>
    </w:lvl>
  </w:abstractNum>
  <w:abstractNum w:abstractNumId="31" w15:restartNumberingAfterBreak="0">
    <w:nsid w:val="5B896BE4"/>
    <w:multiLevelType w:val="hybridMultilevel"/>
    <w:tmpl w:val="BBA0816A"/>
    <w:lvl w:ilvl="0" w:tplc="F3A6E998">
      <w:start w:val="1"/>
      <w:numFmt w:val="bullet"/>
      <w:lvlText w:val=""/>
      <w:lvlJc w:val="left"/>
      <w:pPr>
        <w:ind w:left="1114" w:hanging="360"/>
      </w:pPr>
      <w:rPr>
        <w:rFonts w:ascii="Symbol" w:hAnsi="Symbol" w:hint="default"/>
      </w:rPr>
    </w:lvl>
    <w:lvl w:ilvl="1" w:tplc="04090003" w:tentative="1">
      <w:start w:val="1"/>
      <w:numFmt w:val="bullet"/>
      <w:lvlText w:val="o"/>
      <w:lvlJc w:val="left"/>
      <w:pPr>
        <w:ind w:left="1834" w:hanging="360"/>
      </w:pPr>
      <w:rPr>
        <w:rFonts w:ascii="Courier New" w:hAnsi="Courier New" w:cs="Courier New" w:hint="default"/>
      </w:rPr>
    </w:lvl>
    <w:lvl w:ilvl="2" w:tplc="04090005" w:tentative="1">
      <w:start w:val="1"/>
      <w:numFmt w:val="bullet"/>
      <w:lvlText w:val=""/>
      <w:lvlJc w:val="left"/>
      <w:pPr>
        <w:ind w:left="2554" w:hanging="360"/>
      </w:pPr>
      <w:rPr>
        <w:rFonts w:ascii="Wingdings" w:hAnsi="Wingdings" w:hint="default"/>
      </w:rPr>
    </w:lvl>
    <w:lvl w:ilvl="3" w:tplc="04090001" w:tentative="1">
      <w:start w:val="1"/>
      <w:numFmt w:val="bullet"/>
      <w:lvlText w:val=""/>
      <w:lvlJc w:val="left"/>
      <w:pPr>
        <w:ind w:left="3274" w:hanging="360"/>
      </w:pPr>
      <w:rPr>
        <w:rFonts w:ascii="Symbol" w:hAnsi="Symbol" w:hint="default"/>
      </w:rPr>
    </w:lvl>
    <w:lvl w:ilvl="4" w:tplc="04090003" w:tentative="1">
      <w:start w:val="1"/>
      <w:numFmt w:val="bullet"/>
      <w:lvlText w:val="o"/>
      <w:lvlJc w:val="left"/>
      <w:pPr>
        <w:ind w:left="3994" w:hanging="360"/>
      </w:pPr>
      <w:rPr>
        <w:rFonts w:ascii="Courier New" w:hAnsi="Courier New" w:cs="Courier New" w:hint="default"/>
      </w:rPr>
    </w:lvl>
    <w:lvl w:ilvl="5" w:tplc="04090005" w:tentative="1">
      <w:start w:val="1"/>
      <w:numFmt w:val="bullet"/>
      <w:lvlText w:val=""/>
      <w:lvlJc w:val="left"/>
      <w:pPr>
        <w:ind w:left="4714" w:hanging="360"/>
      </w:pPr>
      <w:rPr>
        <w:rFonts w:ascii="Wingdings" w:hAnsi="Wingdings" w:hint="default"/>
      </w:rPr>
    </w:lvl>
    <w:lvl w:ilvl="6" w:tplc="04090001" w:tentative="1">
      <w:start w:val="1"/>
      <w:numFmt w:val="bullet"/>
      <w:lvlText w:val=""/>
      <w:lvlJc w:val="left"/>
      <w:pPr>
        <w:ind w:left="5434" w:hanging="360"/>
      </w:pPr>
      <w:rPr>
        <w:rFonts w:ascii="Symbol" w:hAnsi="Symbol" w:hint="default"/>
      </w:rPr>
    </w:lvl>
    <w:lvl w:ilvl="7" w:tplc="04090003" w:tentative="1">
      <w:start w:val="1"/>
      <w:numFmt w:val="bullet"/>
      <w:lvlText w:val="o"/>
      <w:lvlJc w:val="left"/>
      <w:pPr>
        <w:ind w:left="6154" w:hanging="360"/>
      </w:pPr>
      <w:rPr>
        <w:rFonts w:ascii="Courier New" w:hAnsi="Courier New" w:cs="Courier New" w:hint="default"/>
      </w:rPr>
    </w:lvl>
    <w:lvl w:ilvl="8" w:tplc="04090005" w:tentative="1">
      <w:start w:val="1"/>
      <w:numFmt w:val="bullet"/>
      <w:lvlText w:val=""/>
      <w:lvlJc w:val="left"/>
      <w:pPr>
        <w:ind w:left="6874" w:hanging="360"/>
      </w:pPr>
      <w:rPr>
        <w:rFonts w:ascii="Wingdings" w:hAnsi="Wingdings" w:hint="default"/>
      </w:rPr>
    </w:lvl>
  </w:abstractNum>
  <w:abstractNum w:abstractNumId="32" w15:restartNumberingAfterBreak="0">
    <w:nsid w:val="5D600871"/>
    <w:multiLevelType w:val="hybridMultilevel"/>
    <w:tmpl w:val="E4AEA00C"/>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33" w15:restartNumberingAfterBreak="0">
    <w:nsid w:val="5D722D90"/>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34" w15:restartNumberingAfterBreak="0">
    <w:nsid w:val="5F905C2C"/>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35" w15:restartNumberingAfterBreak="0">
    <w:nsid w:val="660A5B4A"/>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69652347"/>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37" w15:restartNumberingAfterBreak="0">
    <w:nsid w:val="6A4C2554"/>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6C5D7E8B"/>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6EAF78A2"/>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40" w15:restartNumberingAfterBreak="0">
    <w:nsid w:val="6F5F6429"/>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41" w15:restartNumberingAfterBreak="0">
    <w:nsid w:val="73013174"/>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730A1161"/>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43" w15:restartNumberingAfterBreak="0">
    <w:nsid w:val="78D546AB"/>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44" w15:restartNumberingAfterBreak="0">
    <w:nsid w:val="798C3705"/>
    <w:multiLevelType w:val="hybridMultilevel"/>
    <w:tmpl w:val="F57C36C2"/>
    <w:lvl w:ilvl="0" w:tplc="47A28CA0">
      <w:start w:val="1"/>
      <w:numFmt w:val="decimal"/>
      <w:lvlText w:val="%1."/>
      <w:lvlJc w:val="left"/>
      <w:pPr>
        <w:ind w:left="111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7B634EFD"/>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46" w15:restartNumberingAfterBreak="0">
    <w:nsid w:val="7C5226E4"/>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num w:numId="1">
    <w:abstractNumId w:val="30"/>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7"/>
  </w:num>
  <w:num w:numId="6">
    <w:abstractNumId w:val="34"/>
  </w:num>
  <w:num w:numId="7">
    <w:abstractNumId w:val="6"/>
  </w:num>
  <w:num w:numId="8">
    <w:abstractNumId w:val="9"/>
  </w:num>
  <w:num w:numId="9">
    <w:abstractNumId w:val="46"/>
  </w:num>
  <w:num w:numId="10">
    <w:abstractNumId w:val="5"/>
  </w:num>
  <w:num w:numId="11">
    <w:abstractNumId w:val="23"/>
  </w:num>
  <w:num w:numId="12">
    <w:abstractNumId w:val="36"/>
  </w:num>
  <w:num w:numId="13">
    <w:abstractNumId w:val="44"/>
  </w:num>
  <w:num w:numId="14">
    <w:abstractNumId w:val="37"/>
  </w:num>
  <w:num w:numId="15">
    <w:abstractNumId w:val="4"/>
  </w:num>
  <w:num w:numId="16">
    <w:abstractNumId w:val="15"/>
  </w:num>
  <w:num w:numId="17">
    <w:abstractNumId w:val="20"/>
  </w:num>
  <w:num w:numId="18">
    <w:abstractNumId w:val="13"/>
  </w:num>
  <w:num w:numId="19">
    <w:abstractNumId w:val="43"/>
  </w:num>
  <w:num w:numId="20">
    <w:abstractNumId w:val="26"/>
  </w:num>
  <w:num w:numId="21">
    <w:abstractNumId w:val="33"/>
  </w:num>
  <w:num w:numId="22">
    <w:abstractNumId w:val="38"/>
  </w:num>
  <w:num w:numId="23">
    <w:abstractNumId w:val="18"/>
  </w:num>
  <w:num w:numId="24">
    <w:abstractNumId w:val="2"/>
  </w:num>
  <w:num w:numId="25">
    <w:abstractNumId w:val="45"/>
  </w:num>
  <w:num w:numId="26">
    <w:abstractNumId w:val="25"/>
  </w:num>
  <w:num w:numId="27">
    <w:abstractNumId w:val="22"/>
  </w:num>
  <w:num w:numId="28">
    <w:abstractNumId w:val="28"/>
  </w:num>
  <w:num w:numId="29">
    <w:abstractNumId w:val="12"/>
  </w:num>
  <w:num w:numId="30">
    <w:abstractNumId w:val="0"/>
  </w:num>
  <w:num w:numId="31">
    <w:abstractNumId w:val="41"/>
  </w:num>
  <w:num w:numId="32">
    <w:abstractNumId w:val="19"/>
  </w:num>
  <w:num w:numId="33">
    <w:abstractNumId w:val="1"/>
  </w:num>
  <w:num w:numId="34">
    <w:abstractNumId w:val="29"/>
  </w:num>
  <w:num w:numId="35">
    <w:abstractNumId w:val="32"/>
  </w:num>
  <w:num w:numId="36">
    <w:abstractNumId w:val="11"/>
  </w:num>
  <w:num w:numId="37">
    <w:abstractNumId w:val="39"/>
  </w:num>
  <w:num w:numId="38">
    <w:abstractNumId w:val="14"/>
  </w:num>
  <w:num w:numId="39">
    <w:abstractNumId w:val="35"/>
  </w:num>
  <w:num w:numId="40">
    <w:abstractNumId w:val="42"/>
  </w:num>
  <w:num w:numId="41">
    <w:abstractNumId w:val="16"/>
  </w:num>
  <w:num w:numId="42">
    <w:abstractNumId w:val="31"/>
  </w:num>
  <w:num w:numId="43">
    <w:abstractNumId w:val="8"/>
  </w:num>
  <w:num w:numId="44">
    <w:abstractNumId w:val="7"/>
  </w:num>
  <w:num w:numId="45">
    <w:abstractNumId w:val="27"/>
  </w:num>
  <w:num w:numId="46">
    <w:abstractNumId w:val="24"/>
  </w:num>
  <w:num w:numId="47">
    <w:abstractNumId w:val="4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8A7"/>
    <w:rsid w:val="00124FBF"/>
    <w:rsid w:val="001D7E0E"/>
    <w:rsid w:val="002473B4"/>
    <w:rsid w:val="002D1CA3"/>
    <w:rsid w:val="002E638E"/>
    <w:rsid w:val="0035664F"/>
    <w:rsid w:val="003777F0"/>
    <w:rsid w:val="00381B14"/>
    <w:rsid w:val="004600AD"/>
    <w:rsid w:val="004C6F44"/>
    <w:rsid w:val="00576CBA"/>
    <w:rsid w:val="00582EF4"/>
    <w:rsid w:val="00632521"/>
    <w:rsid w:val="0067754A"/>
    <w:rsid w:val="006813B6"/>
    <w:rsid w:val="00681BCE"/>
    <w:rsid w:val="0074490C"/>
    <w:rsid w:val="007C7451"/>
    <w:rsid w:val="00A24104"/>
    <w:rsid w:val="00A35D3B"/>
    <w:rsid w:val="00A50FC7"/>
    <w:rsid w:val="00AD1E30"/>
    <w:rsid w:val="00B07011"/>
    <w:rsid w:val="00B86C89"/>
    <w:rsid w:val="00B92484"/>
    <w:rsid w:val="00BD6692"/>
    <w:rsid w:val="00BF07EF"/>
    <w:rsid w:val="00C052B9"/>
    <w:rsid w:val="00CA1E3E"/>
    <w:rsid w:val="00CB08A7"/>
    <w:rsid w:val="00F42A9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54889A-324F-4957-ABEC-95738B09E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B08A7"/>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link w:val="ListaszerbekezdsChar"/>
    <w:uiPriority w:val="34"/>
    <w:qFormat/>
    <w:rsid w:val="00CB08A7"/>
    <w:pPr>
      <w:spacing w:after="0" w:line="240" w:lineRule="auto"/>
      <w:ind w:left="720"/>
      <w:contextualSpacing/>
    </w:pPr>
    <w:rPr>
      <w:rFonts w:ascii="Times New Roman" w:eastAsia="Times New Roman" w:hAnsi="Times New Roman" w:cs="Times New Roman"/>
      <w:sz w:val="20"/>
      <w:szCs w:val="20"/>
      <w:lang w:eastAsia="hu-HU"/>
    </w:rPr>
  </w:style>
  <w:style w:type="character" w:customStyle="1" w:styleId="ListaszerbekezdsChar">
    <w:name w:val="Listaszerű bekezdés Char"/>
    <w:basedOn w:val="Bekezdsalapbettpusa"/>
    <w:link w:val="Listaszerbekezds"/>
    <w:rsid w:val="00CB08A7"/>
    <w:rPr>
      <w:rFonts w:ascii="Times New Roman" w:eastAsia="Times New Roman" w:hAnsi="Times New Roman" w:cs="Times New Roman"/>
      <w:sz w:val="20"/>
      <w:szCs w:val="20"/>
      <w:lang w:eastAsia="hu-HU"/>
    </w:rPr>
  </w:style>
  <w:style w:type="character" w:styleId="Hiperhivatkozs">
    <w:name w:val="Hyperlink"/>
    <w:uiPriority w:val="99"/>
    <w:rsid w:val="00576CBA"/>
    <w:rPr>
      <w:color w:val="0000FF"/>
      <w:u w:val="single"/>
    </w:rPr>
  </w:style>
  <w:style w:type="paragraph" w:styleId="TJ1">
    <w:name w:val="toc 1"/>
    <w:basedOn w:val="Norml"/>
    <w:next w:val="Norml"/>
    <w:autoRedefine/>
    <w:uiPriority w:val="39"/>
    <w:unhideWhenUsed/>
    <w:rsid w:val="00576CBA"/>
    <w:pPr>
      <w:tabs>
        <w:tab w:val="left" w:pos="400"/>
        <w:tab w:val="right" w:leader="dot" w:pos="9060"/>
      </w:tabs>
      <w:spacing w:after="0" w:line="360" w:lineRule="auto"/>
      <w:jc w:val="both"/>
    </w:pPr>
    <w:rPr>
      <w:rFonts w:ascii="Times New Roman" w:eastAsia="Calibri" w:hAnsi="Times New Roman" w:cs="Times New Roman"/>
      <w:i/>
      <w:noProof/>
      <w:sz w:val="24"/>
      <w:szCs w:val="24"/>
      <w:lang w:val="en-GB" w:eastAsia="hu-HU"/>
    </w:rPr>
  </w:style>
  <w:style w:type="character" w:customStyle="1" w:styleId="shorttext">
    <w:name w:val="short_text"/>
    <w:basedOn w:val="Bekezdsalapbettpusa"/>
    <w:rsid w:val="00582EF4"/>
  </w:style>
  <w:style w:type="character" w:customStyle="1" w:styleId="alt-edited">
    <w:name w:val="alt-edited"/>
    <w:basedOn w:val="Bekezdsalapbettpusa"/>
    <w:rsid w:val="00582EF4"/>
  </w:style>
  <w:style w:type="character" w:customStyle="1" w:styleId="tlid-translation">
    <w:name w:val="tlid-translation"/>
    <w:basedOn w:val="Bekezdsalapbettpusa"/>
    <w:rsid w:val="00582EF4"/>
  </w:style>
  <w:style w:type="paragraph" w:styleId="Szvegtrzs2">
    <w:name w:val="Body Text 2"/>
    <w:basedOn w:val="Norml"/>
    <w:link w:val="Szvegtrzs2Char"/>
    <w:rsid w:val="004600AD"/>
    <w:pPr>
      <w:spacing w:after="0" w:line="360" w:lineRule="auto"/>
      <w:ind w:right="-426"/>
      <w:jc w:val="both"/>
    </w:pPr>
    <w:rPr>
      <w:rFonts w:ascii="Arial" w:eastAsia="Times New Roman" w:hAnsi="Arial" w:cs="Times New Roman"/>
      <w:b/>
      <w:color w:val="000000"/>
      <w:szCs w:val="20"/>
      <w:lang w:eastAsia="hu-HU"/>
    </w:rPr>
  </w:style>
  <w:style w:type="character" w:customStyle="1" w:styleId="Szvegtrzs2Char">
    <w:name w:val="Szövegtörzs 2 Char"/>
    <w:basedOn w:val="Bekezdsalapbettpusa"/>
    <w:link w:val="Szvegtrzs2"/>
    <w:rsid w:val="004600AD"/>
    <w:rPr>
      <w:rFonts w:ascii="Arial" w:eastAsia="Times New Roman" w:hAnsi="Arial" w:cs="Times New Roman"/>
      <w:b/>
      <w:color w:val="000000"/>
      <w:szCs w:val="20"/>
      <w:lang w:eastAsia="hu-HU"/>
    </w:rPr>
  </w:style>
  <w:style w:type="character" w:customStyle="1" w:styleId="st">
    <w:name w:val="st"/>
    <w:basedOn w:val="Bekezdsalapbettpusa"/>
    <w:rsid w:val="00BD6692"/>
  </w:style>
  <w:style w:type="paragraph" w:customStyle="1" w:styleId="pszerzo">
    <w:name w:val="pszerzo"/>
    <w:basedOn w:val="Norml"/>
    <w:rsid w:val="00BD6692"/>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kiado">
    <w:name w:val="kiado"/>
    <w:rsid w:val="00BD6692"/>
  </w:style>
  <w:style w:type="character" w:customStyle="1" w:styleId="ev">
    <w:name w:val="ev"/>
    <w:rsid w:val="00BD6692"/>
  </w:style>
  <w:style w:type="character" w:customStyle="1" w:styleId="oldal">
    <w:name w:val="oldal"/>
    <w:rsid w:val="00BD6692"/>
  </w:style>
  <w:style w:type="character" w:customStyle="1" w:styleId="pisbn">
    <w:name w:val="pisbn"/>
    <w:rsid w:val="00BD6692"/>
  </w:style>
  <w:style w:type="character" w:customStyle="1" w:styleId="kiadvaros">
    <w:name w:val="kiadvaros"/>
    <w:rsid w:val="00BD6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623</Words>
  <Characters>4299</Characters>
  <Application>Microsoft Office Word</Application>
  <DocSecurity>0</DocSecurity>
  <Lines>35</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2019-08-28T09:54:00Z</dcterms:created>
  <dcterms:modified xsi:type="dcterms:W3CDTF">2019-08-28T09:54:00Z</dcterms:modified>
</cp:coreProperties>
</file>