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163"/>
      </w:tblGrid>
      <w:tr w:rsidR="00281D58" w:rsidRPr="00281D58" w:rsidTr="00281D58"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1D58" w:rsidRPr="00281D58" w:rsidRDefault="00281D58" w:rsidP="00281D58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code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subject:</w:t>
            </w: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Hydrobiology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, MTMKG7027A</w:t>
            </w: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1D58" w:rsidRPr="00134E87" w:rsidRDefault="00281D58" w:rsidP="00281D5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ECTS </w:t>
            </w:r>
            <w:r w:rsidRPr="00134E87">
              <w:rPr>
                <w:rFonts w:ascii="Arial" w:hAnsi="Arial" w:cs="Arial"/>
                <w:b/>
                <w:sz w:val="22"/>
                <w:szCs w:val="22"/>
                <w:lang w:val="en-US"/>
              </w:rPr>
              <w:t>Credit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Points</w:t>
            </w:r>
            <w:r w:rsidRPr="00134E8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</w:tr>
      <w:tr w:rsidR="001E6F92" w:rsidRPr="00281D58" w:rsidTr="00281D58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81D58" w:rsidRDefault="00541A64" w:rsidP="00281D58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277F15" w:rsidRPr="00281D58">
              <w:rPr>
                <w:rFonts w:ascii="Arial" w:hAnsi="Arial" w:cs="Arial"/>
                <w:sz w:val="22"/>
                <w:szCs w:val="22"/>
                <w:lang w:val="en-GB"/>
              </w:rPr>
              <w:t>optional</w:t>
            </w:r>
          </w:p>
        </w:tc>
      </w:tr>
      <w:tr w:rsidR="001E6F92" w:rsidRPr="00281D58" w:rsidTr="00281D58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81D58" w:rsidRDefault="0039094A" w:rsidP="00281D58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="00A419F6" w:rsidRPr="00281D58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419F6" w:rsidRPr="00281D58">
              <w:rPr>
                <w:rFonts w:ascii="Arial" w:hAnsi="Arial" w:cs="Arial"/>
                <w:sz w:val="22"/>
                <w:szCs w:val="22"/>
                <w:lang w:val="en-GB"/>
              </w:rPr>
              <w:t>redit%)</w:t>
            </w:r>
            <w:r w:rsidR="00277F15"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 0/100</w:t>
            </w:r>
          </w:p>
        </w:tc>
      </w:tr>
      <w:tr w:rsidR="001E6F92" w:rsidRPr="00281D58" w:rsidTr="00281D58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Default="0039094A" w:rsidP="00281D58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81D58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="00670EC9"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hour(s)</w:t>
            </w:r>
            <w:r w:rsidR="00670EC9"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lecture and </w:t>
            </w:r>
            <w:r w:rsidR="00281D58">
              <w:rPr>
                <w:rFonts w:ascii="Arial" w:hAnsi="Arial" w:cs="Arial"/>
                <w:sz w:val="22"/>
                <w:szCs w:val="22"/>
                <w:lang w:val="en-GB"/>
              </w:rPr>
              <w:t>42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 hour(s) practice per </w:t>
            </w: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="00734257"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281D58" w:rsidRPr="00281D58" w:rsidRDefault="00281D58" w:rsidP="00281D58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52A4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teaching hours / week 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0+3</w:t>
            </w:r>
            <w:r w:rsidRPr="006952A4">
              <w:rPr>
                <w:rFonts w:ascii="Arial" w:hAnsi="Arial" w:cs="Arial"/>
                <w:sz w:val="22"/>
                <w:szCs w:val="22"/>
                <w:lang w:val="en-GB"/>
              </w:rPr>
              <w:t xml:space="preserve"> (lecture and practice)</w:t>
            </w:r>
          </w:p>
        </w:tc>
      </w:tr>
      <w:tr w:rsidR="001E6F92" w:rsidRPr="00281D58" w:rsidTr="00281D58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81D58" w:rsidRDefault="0039094A" w:rsidP="00281D5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="00A419F6"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exam </w:t>
            </w:r>
          </w:p>
        </w:tc>
      </w:tr>
      <w:tr w:rsidR="001E6F92" w:rsidRPr="00281D58" w:rsidTr="00281D58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81D58" w:rsidRDefault="0039094A" w:rsidP="00281D58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</w:t>
            </w:r>
            <w:r w:rsidR="00A419F6"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A419F6"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semester </w:t>
            </w:r>
            <w:r w:rsidR="00277F15" w:rsidRPr="00281D58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A419F6" w:rsidRPr="00281D58" w:rsidTr="00281D58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81D58" w:rsidRDefault="0039094A" w:rsidP="00281D58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Preliminary requirements</w:t>
            </w:r>
            <w:r w:rsidR="00A419F6" w:rsidRPr="00281D5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281D5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3E691C" w:rsidRPr="00281D58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A419F6" w:rsidRPr="00281D58" w:rsidRDefault="00A419F6" w:rsidP="00281D58">
      <w:pPr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281D58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281D58" w:rsidRDefault="00640576" w:rsidP="00281D5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281D58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1E6F92" w:rsidRPr="00281D58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4284D" w:rsidRPr="00281D58" w:rsidRDefault="0014284D" w:rsidP="00281D5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Increased knowledge, skills and competencies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 of students will be reflected in the following areas:</w:t>
            </w:r>
          </w:p>
          <w:p w:rsidR="0014284D" w:rsidRPr="00281D58" w:rsidRDefault="0014284D" w:rsidP="00281D5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1. Mastering of the practical implementation of the qualitative and quantitative hydrobiological analysis associated with handling microscopic techniques</w:t>
            </w:r>
          </w:p>
          <w:p w:rsidR="0014284D" w:rsidRPr="00281D58" w:rsidRDefault="0014284D" w:rsidP="00281D5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2. Familiarization with sampling methods of different types of waters, sediments, benthic macroinvertebrates, phytoplankton and zooplankton.</w:t>
            </w:r>
          </w:p>
          <w:p w:rsidR="0014284D" w:rsidRPr="00281D58" w:rsidRDefault="0014284D" w:rsidP="00281D5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3. Understanding of ecological and bioindication indexes calculation and its importance for the estimation of surface water quality and pollution.</w:t>
            </w:r>
          </w:p>
          <w:p w:rsidR="0014284D" w:rsidRPr="00281D58" w:rsidRDefault="0014284D" w:rsidP="00281D5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Students will be able to:</w:t>
            </w:r>
          </w:p>
          <w:p w:rsidR="0014284D" w:rsidRPr="00281D58" w:rsidRDefault="0014284D" w:rsidP="00281D5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1. Clearly articulate the methods and key approaches used to the assessment of the status and change in freshwater biological systems.</w:t>
            </w:r>
          </w:p>
          <w:p w:rsidR="0014284D" w:rsidRPr="00281D58" w:rsidRDefault="0014284D" w:rsidP="00281D5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2. Describe the advantages, disadvantages and sources of uncertainty of these ecological and methodological approaches and methods.</w:t>
            </w:r>
          </w:p>
          <w:p w:rsidR="0014284D" w:rsidRPr="00281D58" w:rsidRDefault="0014284D" w:rsidP="00281D5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3. Demonstrate well-developed conceptual knowledge in freshwater biology and ecology;</w:t>
            </w:r>
          </w:p>
          <w:p w:rsidR="0014284D" w:rsidRPr="00281D58" w:rsidRDefault="0014284D" w:rsidP="00281D5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4. Collect new data and synthesis existing information to assess the status of a freshwater system.</w:t>
            </w:r>
          </w:p>
          <w:p w:rsidR="0014284D" w:rsidRPr="00281D58" w:rsidRDefault="0014284D" w:rsidP="00281D5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5. Critically evaluate the strengths and weaknesses of the acquired environmental, ecological data and information;</w:t>
            </w:r>
          </w:p>
          <w:p w:rsidR="0014284D" w:rsidRPr="00281D58" w:rsidRDefault="0014284D" w:rsidP="00281D5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6. Accurately communicate the findings of a freshwater biological or ecological study in a scientific report;</w:t>
            </w:r>
          </w:p>
          <w:p w:rsidR="0014284D" w:rsidRPr="00281D58" w:rsidRDefault="0014284D" w:rsidP="00281D5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7. Demonstrate ability to critically assess the quality of your own work and the work of others</w:t>
            </w:r>
          </w:p>
          <w:p w:rsidR="00B03C66" w:rsidRPr="00281D58" w:rsidRDefault="0014284D" w:rsidP="00281D5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8. Develop a global awareness of freshwater issues and the significance of cultural diversity as it pertains to sustainability of water resources.</w:t>
            </w:r>
          </w:p>
        </w:tc>
      </w:tr>
      <w:tr w:rsidR="001E6F92" w:rsidRPr="00281D58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281D58" w:rsidRDefault="00B03C66" w:rsidP="00281D5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281D58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1E6F92" w:rsidRPr="00281D58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4284D" w:rsidRPr="00281D58" w:rsidRDefault="0014284D" w:rsidP="00281D58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Lessons:</w:t>
            </w:r>
          </w:p>
          <w:p w:rsidR="00243C57" w:rsidRPr="00281D58" w:rsidRDefault="00243C57" w:rsidP="00281D58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Freshwater ecosystems</w:t>
            </w:r>
            <w:r w:rsidR="000A528E" w:rsidRPr="00281D58">
              <w:rPr>
                <w:rFonts w:ascii="Arial" w:hAnsi="Arial" w:cs="Arial"/>
                <w:sz w:val="22"/>
                <w:szCs w:val="22"/>
                <w:lang w:val="en-GB"/>
              </w:rPr>
              <w:t>. General limnology</w:t>
            </w:r>
          </w:p>
          <w:p w:rsidR="000A528E" w:rsidRPr="00281D58" w:rsidRDefault="00243C57" w:rsidP="00281D58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Physical-Chemical characteristics of Freshwater</w:t>
            </w:r>
            <w:r w:rsidR="000A528E"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243C57" w:rsidRPr="00281D58" w:rsidRDefault="000A528E" w:rsidP="00281D58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WQ General</w:t>
            </w:r>
          </w:p>
          <w:p w:rsidR="0014284D" w:rsidRPr="00281D58" w:rsidRDefault="0014284D" w:rsidP="00281D58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The microscope</w:t>
            </w:r>
            <w:r w:rsidR="000A528E"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The anatomy of the plant and animal cell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14284D" w:rsidRPr="00281D58" w:rsidRDefault="0014284D" w:rsidP="00281D58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Phytoplankton</w:t>
            </w:r>
          </w:p>
          <w:p w:rsidR="0014284D" w:rsidRPr="00281D58" w:rsidRDefault="0014284D" w:rsidP="00281D58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Zooplankton</w:t>
            </w:r>
          </w:p>
          <w:p w:rsidR="0014284D" w:rsidRPr="00281D58" w:rsidRDefault="0014284D" w:rsidP="00281D58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Macroinvertebrate</w:t>
            </w:r>
          </w:p>
          <w:p w:rsidR="0014284D" w:rsidRPr="00281D58" w:rsidRDefault="0014284D" w:rsidP="00281D58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The Functional feeding groups</w:t>
            </w:r>
            <w:r w:rsidR="000A528E" w:rsidRPr="00281D5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A528E" w:rsidRPr="00281D58">
              <w:rPr>
                <w:rFonts w:ascii="Arial" w:hAnsi="Arial" w:cs="Arial"/>
                <w:sz w:val="22"/>
                <w:szCs w:val="22"/>
                <w:lang w:val="en-GB"/>
              </w:rPr>
              <w:t>Freshwater Macroinvertebrates Protocol</w:t>
            </w:r>
          </w:p>
          <w:p w:rsidR="0014284D" w:rsidRPr="00281D58" w:rsidRDefault="0014284D" w:rsidP="00281D58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The Nekton &amp;Fish sampling</w:t>
            </w:r>
          </w:p>
          <w:p w:rsidR="0014284D" w:rsidRPr="00281D58" w:rsidRDefault="000A528E" w:rsidP="00281D58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Biological Water Qualification. </w:t>
            </w:r>
            <w:r w:rsidR="0014284D" w:rsidRPr="00281D58">
              <w:rPr>
                <w:rFonts w:ascii="Arial" w:hAnsi="Arial" w:cs="Arial"/>
                <w:sz w:val="22"/>
                <w:szCs w:val="22"/>
                <w:lang w:val="en-GB"/>
              </w:rPr>
              <w:t>The bio assessment protocols of the wadeable rivers</w:t>
            </w:r>
          </w:p>
          <w:p w:rsidR="0014284D" w:rsidRPr="00281D58" w:rsidRDefault="0014284D" w:rsidP="00281D58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Determination of BISEL index</w:t>
            </w:r>
          </w:p>
          <w:p w:rsidR="0014284D" w:rsidRPr="00281D58" w:rsidRDefault="0014284D" w:rsidP="00281D58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Water qualification according to the Hungarian method.</w:t>
            </w:r>
          </w:p>
          <w:p w:rsidR="00243C57" w:rsidRPr="00281D58" w:rsidRDefault="0014284D" w:rsidP="00281D58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Bacterioplankton</w:t>
            </w:r>
            <w:r w:rsidR="000A528E"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Virioplankton</w:t>
            </w:r>
          </w:p>
          <w:p w:rsidR="0084342F" w:rsidRPr="00281D58" w:rsidRDefault="00243C57" w:rsidP="00281D58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Eutrophication </w:t>
            </w:r>
          </w:p>
        </w:tc>
      </w:tr>
      <w:tr w:rsidR="001E6F92" w:rsidRPr="00281D58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281D58" w:rsidRDefault="00B03C66" w:rsidP="00281D58">
            <w:pPr>
              <w:suppressAutoHyphens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Literature</w:t>
            </w:r>
            <w:r w:rsidR="003E72C4"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, handbooks</w:t>
            </w:r>
            <w:r w:rsidR="00A419F6"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281D58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281D58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1E6F92" w:rsidRPr="00281D58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43C57" w:rsidRPr="00281D58" w:rsidRDefault="00243C57" w:rsidP="00281D58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Horne, A.J. and C.R. Goldman. (1994): Limnology. 2nd edition. McGraw-Hill Co., New York, USA.</w:t>
            </w:r>
          </w:p>
          <w:p w:rsidR="00243C57" w:rsidRPr="00281D58" w:rsidRDefault="00243C57" w:rsidP="00281D58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Edmondson, W. T. (1959): Freshwater Biology. John Wiley &amp; Sons, Inc. ISBN 471 23298 X</w:t>
            </w:r>
          </w:p>
          <w:p w:rsidR="00243C57" w:rsidRPr="00281D58" w:rsidRDefault="00243C57" w:rsidP="00281D58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Welch, P. S. (1952): Limnology. McGraw-Hill Book Company, Inc.</w:t>
            </w:r>
          </w:p>
          <w:p w:rsidR="00B03C66" w:rsidRPr="00281D58" w:rsidRDefault="00243C57" w:rsidP="00281D58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Wetzel R. (2001): Limnology. Lake and River Ecosystems. 3rd Edition. Academic Press. Hardcover ISBN: 9780127447605, eBook ISBN: 9780080574394. </w:t>
            </w:r>
          </w:p>
        </w:tc>
      </w:tr>
      <w:tr w:rsidR="001E6F92" w:rsidRPr="00281D58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281D58" w:rsidRDefault="00B03C66" w:rsidP="00281D58">
            <w:pPr>
              <w:suppressAutoHyphens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Competencies gained</w:t>
            </w:r>
            <w:r w:rsidR="00726128"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26128" w:rsidRPr="00281D5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="00726128" w:rsidRPr="00281D5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1E6F92" w:rsidRPr="00281D58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281D58" w:rsidRDefault="00B03C66" w:rsidP="00281D58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  <w:r w:rsidR="003D49F9"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592144" w:rsidRPr="00281D58" w:rsidRDefault="00592144" w:rsidP="00281D5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The student has the high level of hydrobiological and hydroecological knowledge needed to cultivate the agricultural water management field.</w:t>
            </w:r>
          </w:p>
          <w:p w:rsidR="00592144" w:rsidRPr="00281D58" w:rsidRDefault="00592144" w:rsidP="00281D5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The student is familiar with hydrobiological and engineering applications related to environmental technology, biotechnology and water management.</w:t>
            </w:r>
          </w:p>
          <w:p w:rsidR="00B03C66" w:rsidRPr="00281D58" w:rsidRDefault="00592144" w:rsidP="00281D5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The student is familiar with the latest ecological and biological water qualification procedures.</w:t>
            </w:r>
          </w:p>
          <w:p w:rsidR="00A419F6" w:rsidRPr="00281D58" w:rsidRDefault="00B03C66" w:rsidP="00281D58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</w:t>
            </w:r>
            <w:r w:rsidR="003D49F9"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592144" w:rsidRPr="00281D58" w:rsidRDefault="00592144" w:rsidP="00281D5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The student is able to effectively apply and further develop environmental and engineering techniques in the field of water quality and water treatment.</w:t>
            </w:r>
          </w:p>
          <w:p w:rsidR="00592144" w:rsidRPr="00281D58" w:rsidRDefault="00592144" w:rsidP="00281D5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The student is able to independently interpret and apply standards and legislation related to water management and environmental activities.</w:t>
            </w:r>
          </w:p>
          <w:p w:rsidR="005D5A4F" w:rsidRPr="00281D58" w:rsidRDefault="00B03C66" w:rsidP="00281D58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</w:t>
            </w:r>
            <w:r w:rsidR="005D5A4F"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D70C7A" w:rsidRPr="00281D58" w:rsidRDefault="00D70C7A" w:rsidP="00281D5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The student is committed to environmental protection and sustainable agriculture.</w:t>
            </w:r>
          </w:p>
          <w:p w:rsidR="00D70C7A" w:rsidRPr="00281D58" w:rsidRDefault="00D70C7A" w:rsidP="00281D5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Make the student's opinion on a professional basis, consistently represent them.</w:t>
            </w:r>
          </w:p>
          <w:p w:rsidR="00D70C7A" w:rsidRPr="00281D58" w:rsidRDefault="00D70C7A" w:rsidP="00281D5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The student cooperates with experts from other disciplines, accepts different opinions if they are appropriately supported by the professional.</w:t>
            </w:r>
          </w:p>
          <w:p w:rsidR="00B4676F" w:rsidRPr="00281D58" w:rsidRDefault="00D70C7A" w:rsidP="00281D5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Lifelong learning</w:t>
            </w:r>
          </w:p>
          <w:p w:rsidR="005D5A4F" w:rsidRPr="00281D58" w:rsidRDefault="00B03C66" w:rsidP="00281D58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</w:t>
            </w:r>
            <w:r w:rsidR="005D5A4F"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D70C7A" w:rsidRPr="00281D58" w:rsidRDefault="00D70C7A" w:rsidP="00281D5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With his practical experience, the student decides independently which biological water treatment, wetland management, water supply, engineering and environmental technology work processes </w:t>
            </w:r>
            <w:r w:rsidR="00281D58">
              <w:rPr>
                <w:rFonts w:ascii="Arial" w:hAnsi="Arial" w:cs="Arial"/>
                <w:sz w:val="22"/>
                <w:szCs w:val="22"/>
                <w:lang w:val="en-GB"/>
              </w:rPr>
              <w:t>should be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 implemented.</w:t>
            </w:r>
          </w:p>
          <w:p w:rsidR="00D70C7A" w:rsidRPr="00281D58" w:rsidRDefault="00D70C7A" w:rsidP="00281D5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The student makes decisions with professional responsibility, takes the consequences.</w:t>
            </w:r>
          </w:p>
          <w:p w:rsidR="00B4676F" w:rsidRPr="00281D58" w:rsidRDefault="00D70C7A" w:rsidP="00281D58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The student represents, adheres to and complies with the environmental and engineering ethics rules of his / her field</w:t>
            </w:r>
          </w:p>
        </w:tc>
      </w:tr>
    </w:tbl>
    <w:p w:rsidR="00A419F6" w:rsidRPr="00281D58" w:rsidRDefault="00A419F6" w:rsidP="00281D58">
      <w:pPr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281D58" w:rsidTr="007255B4">
        <w:trPr>
          <w:trHeight w:val="338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281D58" w:rsidRDefault="00685940" w:rsidP="00281D5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lecturer</w:t>
            </w:r>
            <w:r w:rsidR="00A419F6"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D70C7A"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Dr </w:t>
            </w:r>
            <w:r w:rsidR="00281D58"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Csaba</w:t>
            </w:r>
            <w:r w:rsidR="00281D58"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Pregun</w:t>
            </w:r>
          </w:p>
        </w:tc>
      </w:tr>
    </w:tbl>
    <w:p w:rsidR="00457587" w:rsidRPr="00281D58" w:rsidRDefault="00457587" w:rsidP="00281D58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281D58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281D58" w:rsidRDefault="00685940" w:rsidP="00281D5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281D58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E72C4" w:rsidRPr="00281D58" w:rsidRDefault="003E72C4" w:rsidP="00281D58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Completing </w:t>
            </w:r>
            <w:r w:rsidR="000A528E" w:rsidRPr="00281D58">
              <w:rPr>
                <w:rFonts w:ascii="Arial" w:hAnsi="Arial" w:cs="Arial"/>
                <w:sz w:val="22"/>
                <w:szCs w:val="22"/>
                <w:lang w:val="en-GB"/>
              </w:rPr>
              <w:t>practical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 xml:space="preserve"> exercises</w:t>
            </w:r>
          </w:p>
        </w:tc>
      </w:tr>
      <w:tr w:rsidR="001E6F92" w:rsidRPr="00281D58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281D58" w:rsidRDefault="00685940" w:rsidP="00281D5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1E6F92" w:rsidRPr="00281D58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281D58" w:rsidRDefault="00D70C7A" w:rsidP="00281D58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written and/or verbal </w:t>
            </w:r>
          </w:p>
        </w:tc>
      </w:tr>
      <w:tr w:rsidR="001E6F92" w:rsidRPr="00281D58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281D58" w:rsidRDefault="00685940" w:rsidP="00281D58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281D58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281D58" w:rsidRDefault="00C14CA6" w:rsidP="00281D58">
            <w:pPr>
              <w:tabs>
                <w:tab w:val="left" w:pos="1277"/>
              </w:tabs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t>Participation in lectures and practical exercises. Successful completion of practical tasks.</w:t>
            </w:r>
          </w:p>
        </w:tc>
      </w:tr>
    </w:tbl>
    <w:p w:rsidR="009C1BD2" w:rsidRPr="00281D58" w:rsidRDefault="009C1BD2" w:rsidP="00281D58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281D58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281D58" w:rsidRDefault="00685940" w:rsidP="00281D5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</w:t>
            </w:r>
            <w:r w:rsidR="00655F39" w:rsidRPr="00281D58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281D58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Describe the subject of hydrobiology and its relationship with </w:t>
            </w:r>
            <w:bookmarkStart w:id="0" w:name="_GoBack"/>
            <w:bookmarkEnd w:id="0"/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sciences.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Describe the main physical characteristics of water!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Describe the main chemical characteristics of water!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Characterization of ple</w:t>
            </w:r>
            <w:r w:rsidR="00E8138A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ust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on and ne</w:t>
            </w:r>
            <w:r w:rsidR="00E8138A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kt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on.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Zoning and characteristic vegetation of the </w:t>
            </w:r>
            <w:r w:rsidR="00E8138A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coastal region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A061D2" w:rsidRPr="00281D58" w:rsidRDefault="00E8138A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Stream water</w:t>
            </w:r>
            <w:r w:rsidR="00B308BC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 habitats and associations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Vertical layering of lakes (by light and temperature)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The light conditions of the waters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The sediment materials according to their origin.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General characterization of plankton.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Characterization and significance of </w:t>
            </w:r>
            <w:r w:rsidR="005F5E9F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b</w:t>
            </w:r>
            <w:r w:rsidR="00E8138A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acterioplankton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The importance and ecological role of phytoplankton (algae).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The plankton paradox.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A summary of blue algae (</w:t>
            </w:r>
            <w:r w:rsidR="00876689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Cyanobacteria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) and whip</w:t>
            </w:r>
            <w:r w:rsidR="00A061D2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ped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-algae</w:t>
            </w:r>
            <w:r w:rsidR="00876689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 (Euglenophyta)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Summary of </w:t>
            </w:r>
            <w:r w:rsidR="00876689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Diatoms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r w:rsidR="00876689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Dinophyta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A summary of the green </w:t>
            </w:r>
            <w:r w:rsidR="00876689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algae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Description of </w:t>
            </w:r>
            <w:r w:rsidR="005F5E9F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macrophytes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Macrophytes adapt to the aquatic lifestyle.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Characterization of animal monocytes (zooplankton I)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Characterization and reproduction of </w:t>
            </w:r>
            <w:r w:rsidR="00E8138A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Rotatoria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 (zooplankton II)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Characterization of </w:t>
            </w:r>
            <w:r w:rsidR="00E8138A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Cladocera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r w:rsidR="00E8138A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Copepods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 (Zooplankton III)</w:t>
            </w:r>
          </w:p>
          <w:p w:rsidR="00E8138A" w:rsidRPr="00281D58" w:rsidRDefault="00E8138A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The general characterization of aquatic invertebrates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Characterization of aquatic invertebrates</w:t>
            </w:r>
            <w:r w:rsidR="00876689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 (mayflies).</w:t>
            </w:r>
          </w:p>
          <w:p w:rsidR="00E8138A" w:rsidRPr="00281D58" w:rsidRDefault="00E8138A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Characterization of aquatic invertebrates (dragonflies).</w:t>
            </w:r>
          </w:p>
          <w:p w:rsidR="00E8138A" w:rsidRPr="00281D58" w:rsidRDefault="00E8138A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Characterization of aquatic invertebrates (stoneflies)</w:t>
            </w:r>
          </w:p>
          <w:p w:rsidR="00A061D2" w:rsidRPr="00281D58" w:rsidRDefault="00E8138A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B308BC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Functional 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Feeding</w:t>
            </w:r>
            <w:r w:rsidR="00B308BC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G</w:t>
            </w:r>
            <w:r w:rsidR="00B308BC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roups.</w:t>
            </w:r>
          </w:p>
          <w:p w:rsidR="00A061D2" w:rsidRPr="00281D58" w:rsidRDefault="00B308BC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General characterization of the body structure of fish.</w:t>
            </w:r>
            <w:r w:rsidRPr="00281D5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Fish lifestyle and ecology.</w:t>
            </w:r>
          </w:p>
          <w:p w:rsidR="00F10D84" w:rsidRPr="00281D58" w:rsidRDefault="00F10D84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Describe the methods of water qualifications.</w:t>
            </w:r>
          </w:p>
          <w:p w:rsidR="00A061D2" w:rsidRPr="00281D58" w:rsidRDefault="00F10D84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Describe the processes of e</w:t>
            </w:r>
            <w:r w:rsidR="00B308BC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utrophication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685940" w:rsidRPr="00281D58" w:rsidRDefault="00F10D84" w:rsidP="00281D58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Characterise the </w:t>
            </w:r>
            <w:r w:rsidR="007255B4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Constructed</w:t>
            </w:r>
            <w:r w:rsidR="00B308BC"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 wetlands</w:t>
            </w:r>
            <w:r w:rsidRPr="00281D58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:rsidR="009F7177" w:rsidRPr="00281D58" w:rsidRDefault="009F7177" w:rsidP="00281D58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9F7177" w:rsidRPr="0028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B3" w:rsidRDefault="002B63B3" w:rsidP="00A419F6">
      <w:r>
        <w:separator/>
      </w:r>
    </w:p>
  </w:endnote>
  <w:endnote w:type="continuationSeparator" w:id="0">
    <w:p w:rsidR="002B63B3" w:rsidRDefault="002B63B3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B3" w:rsidRDefault="002B63B3" w:rsidP="00A419F6">
      <w:r>
        <w:separator/>
      </w:r>
    </w:p>
  </w:footnote>
  <w:footnote w:type="continuationSeparator" w:id="0">
    <w:p w:rsidR="002B63B3" w:rsidRDefault="002B63B3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92F5A5D"/>
    <w:multiLevelType w:val="hybridMultilevel"/>
    <w:tmpl w:val="B708365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8A26F1E"/>
    <w:multiLevelType w:val="hybridMultilevel"/>
    <w:tmpl w:val="D36C6B6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5E702CC3"/>
    <w:multiLevelType w:val="hybridMultilevel"/>
    <w:tmpl w:val="F2F8D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5135F4F"/>
    <w:multiLevelType w:val="hybridMultilevel"/>
    <w:tmpl w:val="225456FC"/>
    <w:lvl w:ilvl="0" w:tplc="E6A2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8F72829"/>
    <w:multiLevelType w:val="hybridMultilevel"/>
    <w:tmpl w:val="D24C4B96"/>
    <w:lvl w:ilvl="0" w:tplc="0A14EF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6"/>
  </w:num>
  <w:num w:numId="5">
    <w:abstractNumId w:val="16"/>
  </w:num>
  <w:num w:numId="6">
    <w:abstractNumId w:val="10"/>
  </w:num>
  <w:num w:numId="7">
    <w:abstractNumId w:val="19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20"/>
  </w:num>
  <w:num w:numId="15">
    <w:abstractNumId w:val="12"/>
  </w:num>
  <w:num w:numId="16">
    <w:abstractNumId w:val="0"/>
  </w:num>
  <w:num w:numId="17">
    <w:abstractNumId w:val="15"/>
  </w:num>
  <w:num w:numId="18">
    <w:abstractNumId w:val="9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84D6C"/>
    <w:rsid w:val="00097103"/>
    <w:rsid w:val="000A528E"/>
    <w:rsid w:val="000B14F5"/>
    <w:rsid w:val="000E3C9E"/>
    <w:rsid w:val="000E47D8"/>
    <w:rsid w:val="00127065"/>
    <w:rsid w:val="001344A4"/>
    <w:rsid w:val="0014284D"/>
    <w:rsid w:val="001569F5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43C57"/>
    <w:rsid w:val="00254A23"/>
    <w:rsid w:val="00277F15"/>
    <w:rsid w:val="00281D58"/>
    <w:rsid w:val="002953E4"/>
    <w:rsid w:val="00297F11"/>
    <w:rsid w:val="002B0789"/>
    <w:rsid w:val="002B0BC3"/>
    <w:rsid w:val="002B3EB2"/>
    <w:rsid w:val="002B63B3"/>
    <w:rsid w:val="00320917"/>
    <w:rsid w:val="00345DAE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3424E"/>
    <w:rsid w:val="00447934"/>
    <w:rsid w:val="00457587"/>
    <w:rsid w:val="004708EB"/>
    <w:rsid w:val="00494C83"/>
    <w:rsid w:val="004A7FE7"/>
    <w:rsid w:val="004B4862"/>
    <w:rsid w:val="004B5C07"/>
    <w:rsid w:val="004D22B5"/>
    <w:rsid w:val="004D5103"/>
    <w:rsid w:val="004D7BCB"/>
    <w:rsid w:val="005252F7"/>
    <w:rsid w:val="00541A64"/>
    <w:rsid w:val="00553A4E"/>
    <w:rsid w:val="00592144"/>
    <w:rsid w:val="00595CE1"/>
    <w:rsid w:val="005A008F"/>
    <w:rsid w:val="005A140B"/>
    <w:rsid w:val="005D5A4F"/>
    <w:rsid w:val="005D6A3E"/>
    <w:rsid w:val="005D6DA2"/>
    <w:rsid w:val="005F5E9F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D4C4F"/>
    <w:rsid w:val="006D5679"/>
    <w:rsid w:val="00717978"/>
    <w:rsid w:val="007255B4"/>
    <w:rsid w:val="00726128"/>
    <w:rsid w:val="00734257"/>
    <w:rsid w:val="0075233F"/>
    <w:rsid w:val="007C5672"/>
    <w:rsid w:val="00807F65"/>
    <w:rsid w:val="0084342F"/>
    <w:rsid w:val="00846DBF"/>
    <w:rsid w:val="00862E4D"/>
    <w:rsid w:val="00864BFE"/>
    <w:rsid w:val="00870FFA"/>
    <w:rsid w:val="00876689"/>
    <w:rsid w:val="008B6754"/>
    <w:rsid w:val="00983A30"/>
    <w:rsid w:val="0099460F"/>
    <w:rsid w:val="009A2566"/>
    <w:rsid w:val="009C1BD2"/>
    <w:rsid w:val="009C30B4"/>
    <w:rsid w:val="009D060E"/>
    <w:rsid w:val="009F7177"/>
    <w:rsid w:val="00A039F0"/>
    <w:rsid w:val="00A061D2"/>
    <w:rsid w:val="00A1104B"/>
    <w:rsid w:val="00A11B08"/>
    <w:rsid w:val="00A2149D"/>
    <w:rsid w:val="00A27B74"/>
    <w:rsid w:val="00A419F6"/>
    <w:rsid w:val="00A94DF0"/>
    <w:rsid w:val="00A96166"/>
    <w:rsid w:val="00AB6CC0"/>
    <w:rsid w:val="00AE1601"/>
    <w:rsid w:val="00AE20E8"/>
    <w:rsid w:val="00B03C66"/>
    <w:rsid w:val="00B0606F"/>
    <w:rsid w:val="00B308BC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5AA7"/>
    <w:rsid w:val="00BE334C"/>
    <w:rsid w:val="00C14CA6"/>
    <w:rsid w:val="00C33A18"/>
    <w:rsid w:val="00C73CA3"/>
    <w:rsid w:val="00C76B2D"/>
    <w:rsid w:val="00C84872"/>
    <w:rsid w:val="00CA66AE"/>
    <w:rsid w:val="00CF2082"/>
    <w:rsid w:val="00CF3353"/>
    <w:rsid w:val="00CF338A"/>
    <w:rsid w:val="00D56C9C"/>
    <w:rsid w:val="00D61B8E"/>
    <w:rsid w:val="00D70C7A"/>
    <w:rsid w:val="00D932AF"/>
    <w:rsid w:val="00DB29D4"/>
    <w:rsid w:val="00DC3221"/>
    <w:rsid w:val="00E00148"/>
    <w:rsid w:val="00E3426F"/>
    <w:rsid w:val="00E43CE0"/>
    <w:rsid w:val="00E75103"/>
    <w:rsid w:val="00E8138A"/>
    <w:rsid w:val="00E87691"/>
    <w:rsid w:val="00EB0DCB"/>
    <w:rsid w:val="00ED2FAA"/>
    <w:rsid w:val="00ED7E2B"/>
    <w:rsid w:val="00EF1901"/>
    <w:rsid w:val="00F10D84"/>
    <w:rsid w:val="00F35A40"/>
    <w:rsid w:val="00F52893"/>
    <w:rsid w:val="00F61DDC"/>
    <w:rsid w:val="00F7722C"/>
    <w:rsid w:val="00FC01CF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AFA3C-7FE1-450E-A552-14D0943E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character" w:customStyle="1" w:styleId="alt-edited">
    <w:name w:val="alt-edited"/>
    <w:basedOn w:val="Bekezdsalapbettpusa"/>
    <w:rsid w:val="00C33A18"/>
  </w:style>
  <w:style w:type="character" w:customStyle="1" w:styleId="tlid-translation">
    <w:name w:val="tlid-translation"/>
    <w:basedOn w:val="Bekezdsalapbettpusa"/>
    <w:rsid w:val="00592144"/>
  </w:style>
  <w:style w:type="paragraph" w:styleId="Buborkszveg">
    <w:name w:val="Balloon Text"/>
    <w:basedOn w:val="Norml"/>
    <w:link w:val="BuborkszvegChar"/>
    <w:uiPriority w:val="99"/>
    <w:semiHidden/>
    <w:unhideWhenUsed/>
    <w:rsid w:val="00FC01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1CF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C01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01C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01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01C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F52E-93AE-44CE-A4A5-96182677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2019-01-04T09:42:00Z</cp:lastPrinted>
  <dcterms:created xsi:type="dcterms:W3CDTF">2019-08-23T08:48:00Z</dcterms:created>
  <dcterms:modified xsi:type="dcterms:W3CDTF">2019-08-23T08:48:00Z</dcterms:modified>
</cp:coreProperties>
</file>