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3113"/>
      </w:tblGrid>
      <w:tr w:rsidR="001E6F92" w:rsidRPr="008A3E49" w:rsidTr="008A3E49"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A3E49" w:rsidRDefault="00541A64" w:rsidP="008A3E49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8A3E49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8A3E49">
              <w:rPr>
                <w:rFonts w:ascii="Arial" w:hAnsi="Arial" w:cs="Arial"/>
                <w:b/>
                <w:sz w:val="22"/>
                <w:szCs w:val="22"/>
              </w:rPr>
              <w:t xml:space="preserve"> and code</w:t>
            </w:r>
            <w:r w:rsidRPr="008A3E49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8A3E49">
              <w:rPr>
                <w:rFonts w:ascii="Arial" w:hAnsi="Arial" w:cs="Arial"/>
                <w:sz w:val="22"/>
                <w:szCs w:val="22"/>
              </w:rPr>
              <w:t>:</w:t>
            </w:r>
            <w:r w:rsidR="00D8452F" w:rsidRPr="008A3E49">
              <w:rPr>
                <w:rFonts w:ascii="Arial" w:hAnsi="Arial" w:cs="Arial"/>
                <w:b/>
                <w:sz w:val="22"/>
                <w:szCs w:val="22"/>
              </w:rPr>
              <w:t xml:space="preserve"> Environmental informatics – Environmental monitoring</w:t>
            </w:r>
            <w:r w:rsidR="008A3E49">
              <w:rPr>
                <w:rFonts w:ascii="Arial" w:hAnsi="Arial" w:cs="Arial"/>
                <w:b/>
                <w:sz w:val="22"/>
                <w:szCs w:val="22"/>
              </w:rPr>
              <w:t xml:space="preserve"> MTMKG7003A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A3E49" w:rsidRDefault="008A3E49" w:rsidP="008A3E4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="00A419F6" w:rsidRPr="008A3E4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D784C" w:rsidRPr="008A3E4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E6F92" w:rsidRPr="008A3E49" w:rsidTr="008A3E49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A3E49" w:rsidRDefault="00541A64" w:rsidP="008A3E4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8A3E49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8A3E4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</w:rPr>
              <w:t>compulsory</w:t>
            </w:r>
          </w:p>
        </w:tc>
      </w:tr>
      <w:tr w:rsidR="001E6F92" w:rsidRPr="008A3E49" w:rsidTr="008A3E49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A3E49" w:rsidRDefault="0039094A" w:rsidP="008A3E49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</w:rPr>
              <w:t xml:space="preserve">Ratio of theory and practice: </w:t>
            </w:r>
            <w:r w:rsidR="00A419F6" w:rsidRPr="008A3E49">
              <w:rPr>
                <w:rFonts w:ascii="Arial" w:hAnsi="Arial" w:cs="Arial"/>
                <w:sz w:val="22"/>
                <w:szCs w:val="22"/>
              </w:rPr>
              <w:t>(</w:t>
            </w:r>
            <w:r w:rsidRPr="008A3E49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8A3E49">
              <w:rPr>
                <w:rFonts w:ascii="Arial" w:hAnsi="Arial" w:cs="Arial"/>
                <w:sz w:val="22"/>
                <w:szCs w:val="22"/>
              </w:rPr>
              <w:t>redit%)</w:t>
            </w:r>
            <w:r w:rsidR="001C4BFB" w:rsidRPr="008A3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BFB" w:rsidRPr="008A3E49">
              <w:rPr>
                <w:rFonts w:ascii="Arial" w:hAnsi="Arial" w:cs="Arial"/>
                <w:b/>
                <w:sz w:val="22"/>
                <w:szCs w:val="22"/>
              </w:rPr>
              <w:t>70/30</w:t>
            </w:r>
          </w:p>
        </w:tc>
      </w:tr>
      <w:tr w:rsidR="001E6F92" w:rsidRPr="008A3E49" w:rsidTr="008A3E49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8A3E4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8A3E49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8A3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84C" w:rsidRPr="008A3E49">
              <w:rPr>
                <w:rFonts w:ascii="Arial" w:hAnsi="Arial" w:cs="Arial"/>
                <w:sz w:val="22"/>
                <w:szCs w:val="22"/>
              </w:rPr>
              <w:t xml:space="preserve">28 </w:t>
            </w:r>
            <w:r w:rsidR="00670EC9" w:rsidRPr="008A3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3E49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8A3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84C" w:rsidRPr="008A3E49">
              <w:rPr>
                <w:rFonts w:ascii="Arial" w:hAnsi="Arial" w:cs="Arial"/>
                <w:sz w:val="22"/>
                <w:szCs w:val="22"/>
              </w:rPr>
              <w:t xml:space="preserve">lecture and  14 </w:t>
            </w:r>
            <w:r w:rsidRPr="008A3E49">
              <w:rPr>
                <w:rFonts w:ascii="Arial" w:hAnsi="Arial" w:cs="Arial"/>
                <w:sz w:val="22"/>
                <w:szCs w:val="22"/>
              </w:rPr>
              <w:t xml:space="preserve">hour(s) practice per </w:t>
            </w:r>
            <w:r w:rsidRPr="008A3E49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="00734257" w:rsidRPr="008A3E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3E49" w:rsidRPr="008A3E49" w:rsidRDefault="008A3E49" w:rsidP="008A3E4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E87">
              <w:rPr>
                <w:rFonts w:ascii="Arial" w:hAnsi="Arial" w:cs="Arial"/>
                <w:sz w:val="22"/>
                <w:szCs w:val="22"/>
              </w:rPr>
              <w:t>Numbe</w:t>
            </w:r>
            <w:r>
              <w:rPr>
                <w:rFonts w:ascii="Arial" w:hAnsi="Arial" w:cs="Arial"/>
                <w:sz w:val="22"/>
                <w:szCs w:val="22"/>
              </w:rPr>
              <w:t>r of teaching hours / week : 2+1</w:t>
            </w:r>
            <w:r w:rsidRPr="00134E87">
              <w:rPr>
                <w:rFonts w:ascii="Arial" w:hAnsi="Arial" w:cs="Arial"/>
                <w:sz w:val="22"/>
                <w:szCs w:val="22"/>
              </w:rPr>
              <w:t xml:space="preserve"> (lecture and practice)</w:t>
            </w:r>
          </w:p>
        </w:tc>
      </w:tr>
      <w:tr w:rsidR="001E6F92" w:rsidRPr="008A3E49" w:rsidTr="008A3E49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A3E49" w:rsidRDefault="0039094A" w:rsidP="008A3E4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8A3E4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A3E49">
              <w:rPr>
                <w:rFonts w:ascii="Arial" w:hAnsi="Arial" w:cs="Arial"/>
                <w:sz w:val="22"/>
                <w:szCs w:val="22"/>
              </w:rPr>
              <w:t xml:space="preserve">exam </w:t>
            </w:r>
          </w:p>
        </w:tc>
      </w:tr>
      <w:tr w:rsidR="001E6F92" w:rsidRPr="008A3E49" w:rsidTr="008A3E49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A3E49" w:rsidRDefault="0039094A" w:rsidP="008A3E49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</w:rPr>
              <w:t>Subject in the curriculum</w:t>
            </w:r>
            <w:r w:rsidR="00A419F6" w:rsidRPr="008A3E4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19F6" w:rsidRPr="008A3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3E49">
              <w:rPr>
                <w:rFonts w:ascii="Arial" w:hAnsi="Arial" w:cs="Arial"/>
                <w:sz w:val="22"/>
                <w:szCs w:val="22"/>
              </w:rPr>
              <w:t>semester</w:t>
            </w:r>
            <w:r w:rsidR="001C4BFB" w:rsidRPr="008A3E49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A419F6" w:rsidRPr="008A3E49" w:rsidTr="008A3E49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A3E49" w:rsidRDefault="0039094A" w:rsidP="008A3E49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E49">
              <w:rPr>
                <w:rFonts w:ascii="Arial" w:hAnsi="Arial" w:cs="Arial"/>
                <w:sz w:val="22"/>
                <w:szCs w:val="22"/>
              </w:rPr>
              <w:t>Preliminary requirements</w:t>
            </w:r>
            <w:r w:rsidR="00A419F6" w:rsidRPr="008A3E49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8A3E4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91C" w:rsidRPr="008A3E4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419F6" w:rsidRPr="008A3E49" w:rsidRDefault="00A419F6" w:rsidP="008A3E49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8A3E49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8A3E49" w:rsidRDefault="00640576" w:rsidP="008A3E4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</w:rPr>
              <w:t>Summary of content</w:t>
            </w:r>
            <w:r w:rsidR="00B03C66" w:rsidRPr="008A3E4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03C66" w:rsidRPr="008A3E49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r w:rsidR="003E691C" w:rsidRPr="008A3E4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E6F92" w:rsidRPr="008A3E49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8A3E49" w:rsidRDefault="00B03C66" w:rsidP="008A3E49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</w:p>
          <w:p w:rsidR="00537C55" w:rsidRPr="008A3E49" w:rsidRDefault="00537C55" w:rsidP="008A3E49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>Students</w:t>
            </w:r>
            <w:r w:rsidR="00434FE1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 are acquainted with and master</w:t>
            </w:r>
            <w:r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 the renewable and non</w:t>
            </w:r>
            <w:r w:rsidR="001C4BFB"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renewable natural resources and geospatial assessment, change detection, </w:t>
            </w:r>
            <w:r w:rsidR="00434FE1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theory and practise of spatial decision support systems. They will be able to </w:t>
            </w:r>
            <w:r w:rsidR="00434FE1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>work in</w:t>
            </w:r>
            <w:r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 their environmental management work </w:t>
            </w:r>
            <w:r w:rsidR="00434FE1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 operat</w:t>
            </w:r>
            <w:r w:rsidR="00434FE1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 geospatial and remote sensing software. They </w:t>
            </w:r>
            <w:r w:rsidR="00434FE1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>acquire</w:t>
            </w:r>
            <w:r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 knowledge related to enhanc</w:t>
            </w:r>
            <w:r w:rsidR="00434FE1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8A3E49"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  <w:t xml:space="preserve"> environmental monitoring systems.</w:t>
            </w:r>
          </w:p>
          <w:p w:rsidR="00537C55" w:rsidRPr="008A3E49" w:rsidRDefault="00537C55" w:rsidP="008A3E49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</w:rPr>
              <w:t>Local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and international environmental geospatial projects.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Environment information systems on the Internet, data warehouses and metadata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</w:rPr>
              <w:t>T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he construction and operation of environmental management information systems</w:t>
            </w:r>
            <w:r w:rsidRPr="008A3E4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environmental elements and related IT tasks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Characterization, collection and data structures of digital environmental management data</w:t>
            </w:r>
            <w:r w:rsidRPr="008A3E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related requirements. 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</w:rPr>
              <w:t xml:space="preserve">Modelling 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the environment.</w:t>
            </w:r>
          </w:p>
          <w:p w:rsidR="00537C55" w:rsidRPr="008A3E49" w:rsidRDefault="00D51174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</w:rPr>
              <w:t xml:space="preserve">Modelling 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soil</w:t>
            </w:r>
            <w:r w:rsidRPr="008A3E49">
              <w:rPr>
                <w:rFonts w:ascii="Arial" w:hAnsi="Arial" w:cs="Arial"/>
                <w:sz w:val="22"/>
                <w:szCs w:val="22"/>
              </w:rPr>
              <w:t xml:space="preserve"> and water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Hydrology environmental models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Surface and groundwater </w:t>
            </w:r>
            <w:r w:rsidR="00D51174" w:rsidRPr="008A3E49">
              <w:rPr>
                <w:rFonts w:ascii="Arial" w:hAnsi="Arial" w:cs="Arial"/>
                <w:sz w:val="22"/>
                <w:szCs w:val="22"/>
              </w:rPr>
              <w:t>modelling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Landscape protection and landscape evaluation models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Space and time change assessment - Geostatistics basics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Basics of Remote Sensing.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Geoinformatics model of single-factor decision-making systems.</w:t>
            </w:r>
          </w:p>
          <w:p w:rsidR="00537C55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Applied, complex multi-factor decision-making systems.</w:t>
            </w:r>
          </w:p>
          <w:p w:rsidR="00C073E9" w:rsidRPr="008A3E49" w:rsidRDefault="00537C55" w:rsidP="008A3E4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Decision support </w:t>
            </w:r>
            <w:r w:rsidR="00D51174" w:rsidRPr="008A3E49">
              <w:rPr>
                <w:rFonts w:ascii="Arial" w:hAnsi="Arial" w:cs="Arial"/>
                <w:sz w:val="22"/>
                <w:szCs w:val="22"/>
                <w:lang w:val="en-GB"/>
              </w:rPr>
              <w:t>modelling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solutions</w:t>
            </w:r>
          </w:p>
          <w:p w:rsidR="00B03C66" w:rsidRPr="008A3E49" w:rsidRDefault="00B03C66" w:rsidP="008A3E49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F92" w:rsidRPr="008A3E49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8A3E49" w:rsidRDefault="00B03C66" w:rsidP="008A3E4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8A3E4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8A3E49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8A3E49" w:rsidRDefault="00B03C66" w:rsidP="008A3E49">
            <w:pPr>
              <w:suppressAutoHyphens/>
              <w:ind w:left="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Skills to be learnt:</w:t>
            </w:r>
          </w:p>
          <w:p w:rsidR="00C073E9" w:rsidRPr="008A3E49" w:rsidRDefault="00C073E9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Surfer GUI</w:t>
            </w:r>
          </w:p>
          <w:p w:rsidR="00B03C66" w:rsidRPr="008A3E49" w:rsidRDefault="00C073E9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Surfer colour management</w:t>
            </w:r>
          </w:p>
          <w:p w:rsidR="00B03C66" w:rsidRPr="008A3E49" w:rsidRDefault="00C073E9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Surfer data management</w:t>
            </w:r>
          </w:p>
          <w:p w:rsidR="00B03C66" w:rsidRPr="008A3E49" w:rsidRDefault="00C073E9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Grid DEM</w:t>
            </w:r>
          </w:p>
          <w:p w:rsidR="00B03C66" w:rsidRPr="008A3E49" w:rsidRDefault="00C073E9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Data importing </w:t>
            </w:r>
          </w:p>
          <w:p w:rsidR="00B03C66" w:rsidRPr="008A3E49" w:rsidRDefault="00C073E9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Basic Data statistics</w:t>
            </w:r>
          </w:p>
          <w:p w:rsidR="00B03C66" w:rsidRPr="008A3E49" w:rsidRDefault="00C073E9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 data</w:t>
            </w:r>
            <w:r w:rsidR="00BB360B"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type</w:t>
            </w:r>
            <w:r w:rsidR="00BB360B"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</w:t>
            </w:r>
          </w:p>
          <w:p w:rsidR="00B03C66" w:rsidRPr="008A3E49" w:rsidRDefault="00BB360B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Griding methods</w:t>
            </w:r>
            <w:r w:rsidR="00C073E9"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B03C66" w:rsidRPr="008A3E49" w:rsidRDefault="00BB360B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Grid report evaluation</w:t>
            </w:r>
          </w:p>
          <w:p w:rsidR="00B03C66" w:rsidRPr="008A3E49" w:rsidRDefault="00BB360B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lastRenderedPageBreak/>
              <w:t>A</w:t>
            </w:r>
            <w:r w:rsidR="00C073E9"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ccurate interpolations</w:t>
            </w:r>
          </w:p>
          <w:p w:rsidR="00B03C66" w:rsidRPr="008A3E49" w:rsidRDefault="00BB360B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IDW, TIN</w:t>
            </w:r>
          </w:p>
          <w:p w:rsidR="00BB360B" w:rsidRPr="008A3E49" w:rsidRDefault="00BB360B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Global interpolations</w:t>
            </w:r>
          </w:p>
          <w:p w:rsidR="00BB360B" w:rsidRPr="008A3E49" w:rsidRDefault="00BB360B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Kriging</w:t>
            </w:r>
          </w:p>
          <w:p w:rsidR="0084342F" w:rsidRPr="008A3E49" w:rsidRDefault="00BB360B" w:rsidP="008A3E4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Error propagations</w:t>
            </w:r>
          </w:p>
        </w:tc>
      </w:tr>
      <w:tr w:rsidR="001E6F92" w:rsidRPr="008A3E49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8A3E49" w:rsidRDefault="00B03C66" w:rsidP="008A3E49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</w:rPr>
              <w:lastRenderedPageBreak/>
              <w:t>Literature</w:t>
            </w:r>
            <w:r w:rsidR="003E72C4" w:rsidRPr="008A3E49">
              <w:rPr>
                <w:rFonts w:ascii="Arial" w:hAnsi="Arial" w:cs="Arial"/>
                <w:b/>
                <w:sz w:val="22"/>
                <w:szCs w:val="22"/>
              </w:rPr>
              <w:t>, handbooks</w:t>
            </w:r>
            <w:r w:rsidR="00A419F6" w:rsidRPr="008A3E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3E49">
              <w:rPr>
                <w:rFonts w:ascii="Arial" w:hAnsi="Arial" w:cs="Arial"/>
                <w:b/>
                <w:sz w:val="22"/>
                <w:szCs w:val="22"/>
                <w:u w:val="single"/>
              </w:rPr>
              <w:t>in English</w:t>
            </w:r>
            <w:r w:rsidR="003E72C4" w:rsidRPr="008A3E4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1E6F92" w:rsidRPr="008A3E49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65742" w:rsidRPr="008A3E49" w:rsidRDefault="00D65742" w:rsidP="008A3E49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A3E49">
              <w:rPr>
                <w:rFonts w:ascii="Arial" w:hAnsi="Arial" w:cs="Arial"/>
                <w:sz w:val="22"/>
                <w:szCs w:val="22"/>
              </w:rPr>
              <w:t>Janardhana Raju et al. (2015)Management of natural resources in a changing environment. Springer Publ. ISBN 9783319125589</w:t>
            </w:r>
          </w:p>
          <w:p w:rsidR="00D65742" w:rsidRPr="008A3E49" w:rsidRDefault="00D65742" w:rsidP="008A3E49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A3E49">
              <w:rPr>
                <w:rFonts w:ascii="Arial" w:hAnsi="Arial" w:cs="Arial"/>
                <w:sz w:val="22"/>
                <w:szCs w:val="22"/>
              </w:rPr>
              <w:t>Lichtfouse E. Goyal A. (2015) Sustainable Agriculture Reviews 16. Spriger Publ. ISBN 9783319169873</w:t>
            </w:r>
          </w:p>
          <w:p w:rsidR="00BB360B" w:rsidRPr="008A3E49" w:rsidRDefault="00BB360B" w:rsidP="008A3E49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A3E49">
              <w:rPr>
                <w:rFonts w:ascii="Arial" w:hAnsi="Arial" w:cs="Arial"/>
                <w:sz w:val="22"/>
                <w:szCs w:val="22"/>
              </w:rPr>
              <w:t>GoldenSoftware(2018) Surfer Manual https://www.goldensoftware.com/products/surfer</w:t>
            </w:r>
          </w:p>
        </w:tc>
      </w:tr>
      <w:tr w:rsidR="001E6F92" w:rsidRPr="008A3E49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8A3E49" w:rsidRDefault="00B03C66" w:rsidP="008A3E49">
            <w:pPr>
              <w:suppressAutoHyphens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</w:rPr>
              <w:t>Competencies gained</w:t>
            </w:r>
            <w:r w:rsidR="00726128" w:rsidRPr="008A3E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128" w:rsidRPr="008A3E49">
              <w:rPr>
                <w:rFonts w:ascii="Arial" w:hAnsi="Arial" w:cs="Arial"/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8A3E49">
              <w:rPr>
                <w:rFonts w:ascii="Arial" w:hAnsi="Arial" w:cs="Arial"/>
                <w:i/>
                <w:iCs/>
                <w:sz w:val="22"/>
                <w:szCs w:val="22"/>
              </w:rPr>
              <w:t>requirements)</w:t>
            </w:r>
          </w:p>
        </w:tc>
      </w:tr>
      <w:tr w:rsidR="001E6F92" w:rsidRPr="008A3E49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8A3E49" w:rsidRDefault="00B03C66" w:rsidP="008A3E4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A445B5" w:rsidRPr="008A3E49" w:rsidRDefault="00A445B5" w:rsidP="008A3E49">
            <w:pPr>
              <w:tabs>
                <w:tab w:val="left" w:pos="317"/>
              </w:tabs>
              <w:suppressAutoHyphens/>
              <w:ind w:left="176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445B5" w:rsidRPr="008A3E49" w:rsidRDefault="00A445B5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- Possessing agricultural, food chain safety, natural sciences, environmental, nature conservation, engineering,</w:t>
            </w:r>
            <w:r w:rsidR="00851FF8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economics general and specific knowledge of study areas.</w:t>
            </w:r>
          </w:p>
          <w:p w:rsidR="00A445B5" w:rsidRPr="008A3E49" w:rsidRDefault="00A445B5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- Know in detail the design and implementation of the field of activity of the profession, its implementing methods, rules and related features</w:t>
            </w:r>
            <w:r w:rsidR="00851FF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A445B5" w:rsidRPr="008A3E49" w:rsidRDefault="00A445B5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- Familiar with agricultural production, environmental protection and nature conservation</w:t>
            </w:r>
            <w:r w:rsidR="00851FF8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natural sciences, agricultural production, environment</w:t>
            </w:r>
            <w:r w:rsidR="00851FF8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as well</w:t>
            </w:r>
            <w:r w:rsidR="00851FF8">
              <w:rPr>
                <w:rFonts w:ascii="Arial" w:hAnsi="Arial" w:cs="Arial"/>
                <w:sz w:val="22"/>
                <w:szCs w:val="22"/>
                <w:lang w:val="en-GB"/>
              </w:rPr>
              <w:t xml:space="preserve"> as with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the production of healthy, high-biological quality products.</w:t>
            </w:r>
          </w:p>
          <w:p w:rsidR="00A445B5" w:rsidRPr="008A3E49" w:rsidRDefault="00BE61FA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AF6D75" w:rsidRPr="008A3E49">
              <w:rPr>
                <w:rFonts w:ascii="Arial" w:hAnsi="Arial" w:cs="Arial"/>
                <w:sz w:val="22"/>
                <w:szCs w:val="22"/>
                <w:lang w:val="en-GB"/>
              </w:rPr>
              <w:t>They have</w:t>
            </w:r>
            <w:r w:rsidR="00A445B5"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acquired the relevant knowledge of sustainable farming, </w:t>
            </w:r>
            <w:r w:rsidR="00851FF8"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="00A445B5"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possession of the most up-to-date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445B5"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cultivation technology, knowledge of 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research and development</w:t>
            </w:r>
          </w:p>
          <w:p w:rsidR="005D6698" w:rsidRPr="008A3E49" w:rsidRDefault="005D6698" w:rsidP="008A3E49">
            <w:p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19F6" w:rsidRPr="008A3E49" w:rsidRDefault="00B03C66" w:rsidP="008A3E4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255ED7" w:rsidRPr="008A3E49" w:rsidRDefault="00255ED7" w:rsidP="008A3E49">
            <w:pPr>
              <w:tabs>
                <w:tab w:val="left" w:pos="317"/>
              </w:tabs>
              <w:suppressAutoHyphens/>
              <w:ind w:left="176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BE61FA" w:rsidRPr="008A3E49" w:rsidRDefault="00851FF8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 They are</w:t>
            </w:r>
            <w:r w:rsidR="00BE61FA"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capable of a multidisciplinary, interdisciplinary approach to professional issues.</w:t>
            </w:r>
          </w:p>
          <w:p w:rsidR="00BE61FA" w:rsidRPr="008A3E49" w:rsidRDefault="00BE61FA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AF6D75" w:rsidRPr="008A3E49"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capable of identifying specific professional problems and solving them to explore and formulate a detailed conceptual and practical background.</w:t>
            </w:r>
          </w:p>
          <w:p w:rsidR="00BE61FA" w:rsidRPr="008A3E49" w:rsidRDefault="00BE61FA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- Possess different areas of ideas that form the knowledge system of the given field of expertise for a detailed analysis of the comprehensive and specific contexts.</w:t>
            </w:r>
          </w:p>
          <w:p w:rsidR="00BE61FA" w:rsidRPr="008A3E49" w:rsidRDefault="00BE61FA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AF6D75" w:rsidRPr="008A3E49">
              <w:rPr>
                <w:rFonts w:ascii="Arial" w:hAnsi="Arial" w:cs="Arial"/>
                <w:sz w:val="22"/>
                <w:szCs w:val="22"/>
                <w:lang w:val="en-GB"/>
              </w:rPr>
              <w:t>They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51FF8">
              <w:rPr>
                <w:rFonts w:ascii="Arial" w:hAnsi="Arial" w:cs="Arial"/>
                <w:sz w:val="22"/>
                <w:szCs w:val="22"/>
                <w:lang w:val="en-GB"/>
              </w:rPr>
              <w:t xml:space="preserve">are 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able to formulate a synthetic evaluation formulation and report of the results of the analysis making.</w:t>
            </w:r>
          </w:p>
          <w:p w:rsidR="00BE61FA" w:rsidRPr="008A3E49" w:rsidRDefault="00BE61FA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AF6D75" w:rsidRPr="008A3E49"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able to define, design, organization.</w:t>
            </w:r>
          </w:p>
          <w:p w:rsidR="00B03C66" w:rsidRPr="008A3E49" w:rsidRDefault="00BE61FA" w:rsidP="008A3E49">
            <w:pPr>
              <w:pStyle w:val="Listaszerbekezds"/>
              <w:tabs>
                <w:tab w:val="left" w:pos="317"/>
              </w:tabs>
              <w:suppressAutoHyphens/>
              <w:ind w:left="74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- Being able to engage in research and development projects</w:t>
            </w:r>
          </w:p>
          <w:p w:rsidR="005D5A4F" w:rsidRPr="008A3E49" w:rsidRDefault="00B03C66" w:rsidP="008A3E4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8A3E49" w:rsidRDefault="00B4676F" w:rsidP="008A3E49">
            <w:p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F2453" w:rsidRPr="008A3E49" w:rsidRDefault="002F2453" w:rsidP="008A3E4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Being able to engage in research and development projects</w:t>
            </w:r>
          </w:p>
          <w:p w:rsidR="002F2453" w:rsidRPr="008A3E49" w:rsidRDefault="002F2453" w:rsidP="008A3E4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Recognize values, responsive for new methods and tools that are help more effective application.</w:t>
            </w:r>
          </w:p>
          <w:p w:rsidR="002F2453" w:rsidRPr="008A3E49" w:rsidRDefault="00AF6D75" w:rsidP="008A3E49">
            <w:pPr>
              <w:pStyle w:val="Listaszerbekezds"/>
              <w:tabs>
                <w:tab w:val="left" w:pos="317"/>
              </w:tabs>
              <w:suppressAutoHyphens/>
              <w:ind w:left="100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="002F2453"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strongly committed to resolving problems on a professional basis.</w:t>
            </w:r>
          </w:p>
          <w:p w:rsidR="002F2453" w:rsidRPr="008A3E49" w:rsidRDefault="00416FE5" w:rsidP="008A3E4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Their</w:t>
            </w:r>
            <w:r w:rsidR="002F2453"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professional interest is deepened and engaged.</w:t>
            </w:r>
          </w:p>
          <w:p w:rsidR="002F2453" w:rsidRPr="008A3E49" w:rsidRDefault="00416FE5" w:rsidP="008A3E4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They are</w:t>
            </w:r>
            <w:r w:rsidR="002F2453"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committed to environmental protection, nature conservation and a sustainable agrarian economy.</w:t>
            </w:r>
          </w:p>
          <w:p w:rsidR="00BE61FA" w:rsidRPr="008A3E49" w:rsidRDefault="002F2453" w:rsidP="008A3E4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Frankness, initiating, empathetic.</w:t>
            </w:r>
          </w:p>
          <w:p w:rsidR="005D5A4F" w:rsidRPr="008A3E49" w:rsidRDefault="00B03C66" w:rsidP="008A3E4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8A3E49" w:rsidRDefault="00B4676F" w:rsidP="008A3E49">
            <w:p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5ED7" w:rsidRPr="008A3E49" w:rsidRDefault="00AF6D75" w:rsidP="008A3E4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They have</w:t>
            </w:r>
            <w:r w:rsidR="00255ED7"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considerable autonomy with comprehensive and specialized professional issues environmental management in the implementation, representation and explanation of professional engineering.</w:t>
            </w:r>
          </w:p>
          <w:p w:rsidR="00255ED7" w:rsidRPr="008A3E49" w:rsidRDefault="00AF6D75" w:rsidP="008A3E4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They are</w:t>
            </w:r>
            <w:r w:rsidR="00255ED7" w:rsidRPr="008A3E49">
              <w:rPr>
                <w:rFonts w:ascii="Arial" w:hAnsi="Arial" w:cs="Arial"/>
                <w:sz w:val="22"/>
                <w:szCs w:val="22"/>
                <w:lang w:val="en-GB"/>
              </w:rPr>
              <w:t xml:space="preserve"> capable of independent, environmentally-friendly management, the application and development of modern agricultural technologies.</w:t>
            </w:r>
          </w:p>
        </w:tc>
      </w:tr>
    </w:tbl>
    <w:p w:rsidR="00A419F6" w:rsidRPr="008A3E49" w:rsidRDefault="00A419F6" w:rsidP="008A3E49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8A3E49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8A3E49" w:rsidRDefault="00685940" w:rsidP="008A3E4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fr-FR"/>
              </w:rPr>
              <w:t>Responsible lecturer</w:t>
            </w:r>
            <w:r w:rsidR="00A419F6" w:rsidRPr="008A3E4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</w:t>
            </w:r>
            <w:r w:rsidR="00A45A92" w:rsidRPr="008A3E49">
              <w:rPr>
                <w:rFonts w:ascii="Arial" w:hAnsi="Arial" w:cs="Arial"/>
                <w:b/>
                <w:sz w:val="22"/>
                <w:szCs w:val="22"/>
                <w:lang w:val="fr-FR"/>
              </w:rPr>
              <w:t>P</w:t>
            </w:r>
            <w:r w:rsidR="00A445B5" w:rsidRPr="008A3E49">
              <w:rPr>
                <w:rFonts w:ascii="Arial" w:hAnsi="Arial" w:cs="Arial"/>
                <w:b/>
                <w:sz w:val="22"/>
                <w:szCs w:val="22"/>
                <w:lang w:val="fr-FR"/>
              </w:rPr>
              <w:t>rof. János Tamás</w:t>
            </w:r>
          </w:p>
        </w:tc>
      </w:tr>
      <w:tr w:rsidR="00A419F6" w:rsidRPr="008A3E49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8A3E49" w:rsidRDefault="00685940" w:rsidP="008A3E4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5A92" w:rsidRPr="008A3E49">
              <w:rPr>
                <w:rFonts w:ascii="Arial" w:hAnsi="Arial" w:cs="Arial"/>
                <w:b/>
                <w:sz w:val="22"/>
                <w:szCs w:val="22"/>
              </w:rPr>
              <w:t xml:space="preserve">Dr. Bernadett Gálya </w:t>
            </w:r>
          </w:p>
        </w:tc>
      </w:tr>
    </w:tbl>
    <w:p w:rsidR="00457587" w:rsidRPr="008A3E49" w:rsidRDefault="00457587" w:rsidP="008A3E49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8A3E49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8A3E49" w:rsidRDefault="00685940" w:rsidP="008A3E4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8A3E49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8A3E49" w:rsidRDefault="003E72C4" w:rsidP="008A3E49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GB"/>
              </w:rPr>
              <w:t>Completing assignments / exercises</w:t>
            </w:r>
          </w:p>
          <w:p w:rsidR="00685940" w:rsidRPr="008A3E49" w:rsidRDefault="003E72C4" w:rsidP="008A3E49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Submitting essay</w:t>
            </w:r>
          </w:p>
          <w:p w:rsidR="003E72C4" w:rsidRPr="008A3E49" w:rsidRDefault="003E72C4" w:rsidP="008A3E49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Giving presentation</w:t>
            </w:r>
          </w:p>
        </w:tc>
      </w:tr>
      <w:tr w:rsidR="001E6F92" w:rsidRPr="008A3E49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8A3E49" w:rsidRDefault="00685940" w:rsidP="008A3E4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8A3E49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8A3E49" w:rsidRDefault="00A445B5" w:rsidP="008A3E49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GB"/>
              </w:rPr>
              <w:t>written exam</w:t>
            </w:r>
          </w:p>
        </w:tc>
      </w:tr>
      <w:tr w:rsidR="001E6F92" w:rsidRPr="008A3E49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8A3E49" w:rsidRDefault="00685940" w:rsidP="008A3E49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8A3E4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8A3E49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8A3E49" w:rsidRDefault="002F2453" w:rsidP="008A3E49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3E49">
              <w:rPr>
                <w:rFonts w:ascii="Arial" w:hAnsi="Arial" w:cs="Arial"/>
                <w:sz w:val="22"/>
                <w:szCs w:val="22"/>
                <w:lang w:val="en-US"/>
              </w:rPr>
              <w:t>Active participation in lectures and exercises</w:t>
            </w:r>
            <w:r w:rsidR="00255ED7" w:rsidRPr="008A3E4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8A3E49">
              <w:rPr>
                <w:rFonts w:ascii="Arial" w:hAnsi="Arial" w:cs="Arial"/>
                <w:sz w:val="22"/>
                <w:szCs w:val="22"/>
                <w:lang w:val="en-US"/>
              </w:rPr>
              <w:t xml:space="preserve"> is a successful fulfillment of the tasks defined by the </w:t>
            </w:r>
            <w:r w:rsidR="00255ED7" w:rsidRPr="008A3E49">
              <w:rPr>
                <w:rFonts w:ascii="Arial" w:hAnsi="Arial" w:cs="Arial"/>
                <w:sz w:val="22"/>
                <w:szCs w:val="22"/>
                <w:lang w:val="en-US"/>
              </w:rPr>
              <w:t>lecturer.</w:t>
            </w:r>
          </w:p>
        </w:tc>
      </w:tr>
    </w:tbl>
    <w:p w:rsidR="009C1BD2" w:rsidRPr="008A3E49" w:rsidRDefault="009C1BD2" w:rsidP="008A3E4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8A3E49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8A3E49" w:rsidRDefault="00685940" w:rsidP="008A3E4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3E49">
              <w:rPr>
                <w:rFonts w:ascii="Arial" w:hAnsi="Arial" w:cs="Arial"/>
                <w:b/>
                <w:sz w:val="22"/>
                <w:szCs w:val="22"/>
              </w:rPr>
              <w:t>Exam questions</w:t>
            </w:r>
            <w:r w:rsidR="00655F39" w:rsidRPr="008A3E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E6F92" w:rsidRPr="008A3E49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Primer data </w:t>
            </w:r>
            <w:r w:rsidR="00C073E9"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acquisition</w:t>
            </w:r>
          </w:p>
          <w:p w:rsidR="00D059D1" w:rsidRPr="008A3E49" w:rsidRDefault="00C073E9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Seconder</w:t>
            </w:r>
            <w:r w:rsidR="00255ED7"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data </w:t>
            </w: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acquisitions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Vector data model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Topological relationships of </w:t>
            </w:r>
            <w:r w:rsidR="00C073E9"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polygon</w:t>
            </w:r>
          </w:p>
          <w:p w:rsidR="003124AC" w:rsidRPr="008A3E49" w:rsidRDefault="003124AC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Topological relationships of TIN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Conceptual model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Object types, data integration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Raster conversation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Geoprocessing with </w:t>
            </w:r>
            <w:r w:rsidR="00C073E9"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raster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Physical model implementation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Colours modelling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Meta data structures</w:t>
            </w:r>
          </w:p>
          <w:p w:rsidR="003124AC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Attributive </w:t>
            </w:r>
            <w:r w:rsidR="00C073E9"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data sources</w:t>
            </w: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, 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RDBM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Geo</w:t>
            </w:r>
            <w:r w:rsidR="00C073E9"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mathematics</w:t>
            </w:r>
          </w:p>
          <w:p w:rsidR="003124AC" w:rsidRPr="008A3E49" w:rsidRDefault="003124AC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Site selection</w:t>
            </w:r>
          </w:p>
          <w:p w:rsidR="003124AC" w:rsidRPr="008A3E49" w:rsidRDefault="003124AC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Monitoring strategy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Spatial </w:t>
            </w:r>
            <w:r w:rsidR="00C073E9"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decision</w:t>
            </w: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supporting</w:t>
            </w:r>
          </w:p>
          <w:p w:rsidR="00D059D1" w:rsidRPr="008A3E49" w:rsidRDefault="00255ED7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Spatial estimations</w:t>
            </w:r>
            <w:r w:rsidR="00C073E9"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accurate interpolations</w:t>
            </w:r>
          </w:p>
          <w:p w:rsidR="00FB12ED" w:rsidRPr="008A3E49" w:rsidRDefault="00C073E9" w:rsidP="008A3E49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Global interpolations </w:t>
            </w:r>
          </w:p>
          <w:p w:rsidR="00685940" w:rsidRPr="008A3E49" w:rsidRDefault="00C073E9" w:rsidP="00416FE5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E49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Error propagations</w:t>
            </w:r>
          </w:p>
        </w:tc>
      </w:tr>
    </w:tbl>
    <w:p w:rsidR="009F7177" w:rsidRPr="008A3E49" w:rsidRDefault="009F7177" w:rsidP="008A3E49">
      <w:pPr>
        <w:jc w:val="both"/>
        <w:rPr>
          <w:rFonts w:ascii="Arial" w:hAnsi="Arial" w:cs="Arial"/>
          <w:sz w:val="22"/>
          <w:szCs w:val="22"/>
        </w:rPr>
      </w:pPr>
    </w:p>
    <w:sectPr w:rsidR="009F7177" w:rsidRPr="008A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3C" w:rsidRDefault="00DD4D3C" w:rsidP="00A419F6">
      <w:r>
        <w:separator/>
      </w:r>
    </w:p>
  </w:endnote>
  <w:endnote w:type="continuationSeparator" w:id="0">
    <w:p w:rsidR="00DD4D3C" w:rsidRDefault="00DD4D3C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3C" w:rsidRDefault="00DD4D3C" w:rsidP="00A419F6">
      <w:r>
        <w:separator/>
      </w:r>
    </w:p>
  </w:footnote>
  <w:footnote w:type="continuationSeparator" w:id="0">
    <w:p w:rsidR="00DD4D3C" w:rsidRDefault="00DD4D3C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9A40913"/>
    <w:multiLevelType w:val="hybridMultilevel"/>
    <w:tmpl w:val="BDA4B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AFC5966"/>
    <w:multiLevelType w:val="hybridMultilevel"/>
    <w:tmpl w:val="1A5A36BE"/>
    <w:lvl w:ilvl="0" w:tplc="3FE45A2E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CA15607"/>
    <w:multiLevelType w:val="hybridMultilevel"/>
    <w:tmpl w:val="1D1AE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71EDE"/>
    <w:multiLevelType w:val="hybridMultilevel"/>
    <w:tmpl w:val="AB28C6B8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DEB2236"/>
    <w:multiLevelType w:val="hybridMultilevel"/>
    <w:tmpl w:val="41163E7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41709E"/>
    <w:multiLevelType w:val="hybridMultilevel"/>
    <w:tmpl w:val="6E0AF06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514259A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6"/>
  </w:num>
  <w:num w:numId="5">
    <w:abstractNumId w:val="17"/>
  </w:num>
  <w:num w:numId="6">
    <w:abstractNumId w:val="11"/>
  </w:num>
  <w:num w:numId="7">
    <w:abstractNumId w:val="21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15"/>
  </w:num>
  <w:num w:numId="14">
    <w:abstractNumId w:val="22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D784C"/>
    <w:rsid w:val="000E3C9E"/>
    <w:rsid w:val="000E47D8"/>
    <w:rsid w:val="00106C64"/>
    <w:rsid w:val="00127065"/>
    <w:rsid w:val="001344A4"/>
    <w:rsid w:val="001569F5"/>
    <w:rsid w:val="00183246"/>
    <w:rsid w:val="001A231A"/>
    <w:rsid w:val="001B73C8"/>
    <w:rsid w:val="001C4BFB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55ED7"/>
    <w:rsid w:val="002953E4"/>
    <w:rsid w:val="00297F11"/>
    <w:rsid w:val="002B0789"/>
    <w:rsid w:val="002B0BC3"/>
    <w:rsid w:val="002B3EB2"/>
    <w:rsid w:val="002F2453"/>
    <w:rsid w:val="003029ED"/>
    <w:rsid w:val="003124AC"/>
    <w:rsid w:val="00320917"/>
    <w:rsid w:val="003635C1"/>
    <w:rsid w:val="00370380"/>
    <w:rsid w:val="00376868"/>
    <w:rsid w:val="0039094A"/>
    <w:rsid w:val="003954DA"/>
    <w:rsid w:val="003D49F9"/>
    <w:rsid w:val="003D5E46"/>
    <w:rsid w:val="003E691C"/>
    <w:rsid w:val="003E72C4"/>
    <w:rsid w:val="003E79C9"/>
    <w:rsid w:val="00416FE5"/>
    <w:rsid w:val="00433DFE"/>
    <w:rsid w:val="00434FE1"/>
    <w:rsid w:val="00447934"/>
    <w:rsid w:val="00457587"/>
    <w:rsid w:val="004708EB"/>
    <w:rsid w:val="00494C83"/>
    <w:rsid w:val="004A4641"/>
    <w:rsid w:val="004A7FE7"/>
    <w:rsid w:val="004B4862"/>
    <w:rsid w:val="004D22B5"/>
    <w:rsid w:val="004D5103"/>
    <w:rsid w:val="004D7BCB"/>
    <w:rsid w:val="005252F7"/>
    <w:rsid w:val="00537C55"/>
    <w:rsid w:val="00541A64"/>
    <w:rsid w:val="00553A4E"/>
    <w:rsid w:val="00595CE1"/>
    <w:rsid w:val="005A008F"/>
    <w:rsid w:val="005A140B"/>
    <w:rsid w:val="005D5A4F"/>
    <w:rsid w:val="005D6698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6D688E"/>
    <w:rsid w:val="00717978"/>
    <w:rsid w:val="00726128"/>
    <w:rsid w:val="00734257"/>
    <w:rsid w:val="0075233F"/>
    <w:rsid w:val="007C5672"/>
    <w:rsid w:val="00807F65"/>
    <w:rsid w:val="0084342F"/>
    <w:rsid w:val="00851FF8"/>
    <w:rsid w:val="00862E4D"/>
    <w:rsid w:val="00864BFE"/>
    <w:rsid w:val="00870FFA"/>
    <w:rsid w:val="00882CF2"/>
    <w:rsid w:val="008A3E49"/>
    <w:rsid w:val="008B6754"/>
    <w:rsid w:val="00983A30"/>
    <w:rsid w:val="0099460F"/>
    <w:rsid w:val="009A2566"/>
    <w:rsid w:val="009A347B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445B5"/>
    <w:rsid w:val="00A45A92"/>
    <w:rsid w:val="00A94DF0"/>
    <w:rsid w:val="00A96166"/>
    <w:rsid w:val="00AE1601"/>
    <w:rsid w:val="00AE20E8"/>
    <w:rsid w:val="00AF6D75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B360B"/>
    <w:rsid w:val="00BD5AA7"/>
    <w:rsid w:val="00BE334C"/>
    <w:rsid w:val="00BE61FA"/>
    <w:rsid w:val="00C073E9"/>
    <w:rsid w:val="00C73CA3"/>
    <w:rsid w:val="00C76B2D"/>
    <w:rsid w:val="00C84872"/>
    <w:rsid w:val="00C91FDC"/>
    <w:rsid w:val="00CA66AE"/>
    <w:rsid w:val="00CF2082"/>
    <w:rsid w:val="00CF3353"/>
    <w:rsid w:val="00CF338A"/>
    <w:rsid w:val="00D059D1"/>
    <w:rsid w:val="00D51174"/>
    <w:rsid w:val="00D56C9C"/>
    <w:rsid w:val="00D61B8E"/>
    <w:rsid w:val="00D65742"/>
    <w:rsid w:val="00D8452F"/>
    <w:rsid w:val="00D932AF"/>
    <w:rsid w:val="00DA24BE"/>
    <w:rsid w:val="00DB29D4"/>
    <w:rsid w:val="00DC3221"/>
    <w:rsid w:val="00DD4D3C"/>
    <w:rsid w:val="00E3426F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B12ED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A43C-4B05-4037-8D65-D1804929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26B4-6703-4879-A431-5793361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2017-08-31T09:09:00Z</cp:lastPrinted>
  <dcterms:created xsi:type="dcterms:W3CDTF">2019-08-13T08:32:00Z</dcterms:created>
  <dcterms:modified xsi:type="dcterms:W3CDTF">2019-08-13T08:32:00Z</dcterms:modified>
</cp:coreProperties>
</file>