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2473B4"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Food analytics MTBE7023A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ECTS Credit Points: 4</w:t>
            </w:r>
          </w:p>
        </w:tc>
      </w:tr>
      <w:tr w:rsidR="002473B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2473B4"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2473B4"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2473B4" w:rsidRPr="00782B03" w:rsidRDefault="002473B4" w:rsidP="00CD0962">
            <w:pPr>
              <w:suppressAutoHyphens/>
              <w:spacing w:before="60"/>
              <w:jc w:val="both"/>
              <w:rPr>
                <w:rFonts w:ascii="Arial" w:hAnsi="Arial" w:cs="Arial"/>
                <w:lang w:val="en-US"/>
              </w:rPr>
            </w:pPr>
            <w:r w:rsidRPr="00782B03">
              <w:rPr>
                <w:rFonts w:ascii="Arial" w:hAnsi="Arial" w:cs="Arial"/>
                <w:lang w:val="en-US"/>
              </w:rPr>
              <w:t>Number of teaching hours / week: 2+2 (lecture and practice)</w:t>
            </w:r>
          </w:p>
        </w:tc>
      </w:tr>
      <w:tr w:rsidR="002473B4"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practical course mark</w:t>
            </w:r>
          </w:p>
        </w:tc>
      </w:tr>
      <w:tr w:rsidR="002473B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5</w:t>
            </w:r>
          </w:p>
        </w:tc>
      </w:tr>
      <w:tr w:rsidR="002473B4"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2473B4" w:rsidRPr="00782B03" w:rsidRDefault="002473B4" w:rsidP="002473B4">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473B4"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CD0962">
            <w:pPr>
              <w:suppressAutoHyphens/>
              <w:ind w:left="34"/>
              <w:jc w:val="both"/>
              <w:rPr>
                <w:rFonts w:ascii="Arial" w:hAnsi="Arial" w:cs="Arial"/>
                <w:lang w:val="en-US"/>
              </w:rPr>
            </w:pPr>
            <w:r w:rsidRPr="00782B03">
              <w:rPr>
                <w:rFonts w:ascii="Arial" w:hAnsi="Arial" w:cs="Arial"/>
                <w:lang w:val="en-US"/>
              </w:rPr>
              <w:t xml:space="preserve">Course objectives: The main aim of the lectures is to know the classic analytical methodologies and their theoretical background. The students get knowledge about different methods which are suitable for the determination of physicochemical parameters of food. </w:t>
            </w:r>
          </w:p>
          <w:p w:rsidR="002473B4" w:rsidRPr="00782B03" w:rsidRDefault="002473B4"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473B4" w:rsidRPr="00782B03" w:rsidRDefault="002473B4" w:rsidP="002473B4">
            <w:pPr>
              <w:pStyle w:val="Listaszerbekezds"/>
              <w:numPr>
                <w:ilvl w:val="0"/>
                <w:numId w:val="18"/>
              </w:numPr>
              <w:spacing w:line="276" w:lineRule="auto"/>
              <w:jc w:val="both"/>
              <w:rPr>
                <w:rFonts w:ascii="Arial" w:hAnsi="Arial" w:cs="Arial"/>
                <w:sz w:val="22"/>
                <w:szCs w:val="22"/>
                <w:lang w:val="en-US"/>
              </w:rPr>
            </w:pPr>
            <w:r w:rsidRPr="00782B03">
              <w:rPr>
                <w:rFonts w:ascii="Arial" w:hAnsi="Arial" w:cs="Arial"/>
                <w:sz w:val="22"/>
                <w:szCs w:val="22"/>
                <w:lang w:val="en-US"/>
              </w:rPr>
              <w:t>Food ingredients; Sampling and sample preparation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 xml:space="preserve">Methodology of moisture content, ash content and electrical conductivity determination </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lipids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proteins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carbohydrates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 xml:space="preserve">Methodology of </w:t>
            </w:r>
            <w:proofErr w:type="spellStart"/>
            <w:r w:rsidRPr="00782B03">
              <w:rPr>
                <w:rFonts w:ascii="Arial" w:hAnsi="Arial" w:cs="Arial"/>
                <w:sz w:val="22"/>
                <w:szCs w:val="22"/>
                <w:lang w:val="en-US"/>
              </w:rPr>
              <w:t>fibre</w:t>
            </w:r>
            <w:proofErr w:type="spellEnd"/>
            <w:r w:rsidRPr="00782B03">
              <w:rPr>
                <w:rFonts w:ascii="Arial" w:hAnsi="Arial" w:cs="Arial"/>
                <w:sz w:val="22"/>
                <w:szCs w:val="22"/>
                <w:lang w:val="en-US"/>
              </w:rPr>
              <w:t xml:space="preserve"> content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vitamin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enzyme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antioxidant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amino acid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acid content and acidity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alcoholic beverages’ nutritional parameter determination</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Methodology of sensory analysis</w:t>
            </w:r>
          </w:p>
          <w:p w:rsidR="002473B4" w:rsidRPr="00782B03" w:rsidRDefault="002473B4" w:rsidP="002473B4">
            <w:pPr>
              <w:pStyle w:val="Listaszerbekezds"/>
              <w:numPr>
                <w:ilvl w:val="0"/>
                <w:numId w:val="18"/>
              </w:numPr>
              <w:spacing w:line="276" w:lineRule="auto"/>
              <w:ind w:left="714" w:hanging="357"/>
              <w:jc w:val="both"/>
              <w:rPr>
                <w:rFonts w:ascii="Arial" w:hAnsi="Arial" w:cs="Arial"/>
                <w:sz w:val="22"/>
                <w:szCs w:val="22"/>
                <w:lang w:val="en-US"/>
              </w:rPr>
            </w:pPr>
            <w:r w:rsidRPr="00782B03">
              <w:rPr>
                <w:rFonts w:ascii="Arial" w:hAnsi="Arial" w:cs="Arial"/>
                <w:sz w:val="22"/>
                <w:szCs w:val="22"/>
                <w:lang w:val="en-US"/>
              </w:rPr>
              <w:t xml:space="preserve">Methodology of nutritional value calculation </w:t>
            </w:r>
          </w:p>
        </w:tc>
      </w:tr>
      <w:tr w:rsidR="002473B4"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CD0962">
            <w:pPr>
              <w:suppressAutoHyphens/>
              <w:ind w:left="34"/>
              <w:jc w:val="both"/>
              <w:rPr>
                <w:rFonts w:ascii="Arial" w:hAnsi="Arial" w:cs="Arial"/>
                <w:lang w:val="en-US"/>
              </w:rPr>
            </w:pPr>
            <w:r w:rsidRPr="00782B03">
              <w:rPr>
                <w:rFonts w:ascii="Arial" w:hAnsi="Arial" w:cs="Arial"/>
                <w:lang w:val="en-US"/>
              </w:rPr>
              <w:t xml:space="preserve">Skills to be learnt: The main aim of the practices is to carry out different classic analytical methods in the laboratory. At the end of this semester, students will be able to prepare samples and to determine the nutritional parameters of different food. </w:t>
            </w:r>
          </w:p>
          <w:p w:rsidR="002473B4" w:rsidRPr="00782B03" w:rsidRDefault="002473B4"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Safety training</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 xml:space="preserve">Determination of dry matter content, ash content and electrical conductivity </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 xml:space="preserve">Determination of fat content </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 xml:space="preserve">Determination of nitrogen and protein content </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total carbohydrate content</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 xml:space="preserve">Determination of total dietary </w:t>
            </w:r>
            <w:proofErr w:type="spellStart"/>
            <w:r w:rsidRPr="00782B03">
              <w:rPr>
                <w:rFonts w:ascii="Arial" w:hAnsi="Arial" w:cs="Arial"/>
                <w:sz w:val="22"/>
                <w:szCs w:val="22"/>
                <w:lang w:val="en-US"/>
              </w:rPr>
              <w:t>fibre</w:t>
            </w:r>
            <w:proofErr w:type="spellEnd"/>
            <w:r w:rsidRPr="00782B03">
              <w:rPr>
                <w:rFonts w:ascii="Arial" w:hAnsi="Arial" w:cs="Arial"/>
                <w:sz w:val="22"/>
                <w:szCs w:val="22"/>
                <w:lang w:val="en-US"/>
              </w:rPr>
              <w:t xml:space="preserve"> content</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vitamin C</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diastase activity</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total phenolic and flavonoid content</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proline content</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acid content, acidity and pH</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Determination of physicochemical parameters of alcoholic beverages</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Sensory analysis</w:t>
            </w:r>
          </w:p>
          <w:p w:rsidR="002473B4" w:rsidRPr="00782B03" w:rsidRDefault="002473B4" w:rsidP="002473B4">
            <w:pPr>
              <w:pStyle w:val="Listaszerbekezds"/>
              <w:numPr>
                <w:ilvl w:val="0"/>
                <w:numId w:val="19"/>
              </w:numPr>
              <w:spacing w:line="276" w:lineRule="auto"/>
              <w:jc w:val="both"/>
              <w:rPr>
                <w:rFonts w:ascii="Arial" w:hAnsi="Arial" w:cs="Arial"/>
                <w:sz w:val="22"/>
                <w:szCs w:val="22"/>
                <w:lang w:val="en-US"/>
              </w:rPr>
            </w:pPr>
            <w:r w:rsidRPr="00782B03">
              <w:rPr>
                <w:rFonts w:ascii="Arial" w:hAnsi="Arial" w:cs="Arial"/>
                <w:sz w:val="22"/>
                <w:szCs w:val="22"/>
                <w:lang w:val="en-US"/>
              </w:rPr>
              <w:t>Test</w:t>
            </w:r>
          </w:p>
        </w:tc>
      </w:tr>
      <w:tr w:rsidR="002473B4"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473B4" w:rsidRPr="00782B03" w:rsidRDefault="002473B4"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2473B4"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473B4" w:rsidRPr="00782B03" w:rsidRDefault="002473B4" w:rsidP="002473B4">
            <w:pPr>
              <w:pStyle w:val="Listaszerbekezds"/>
              <w:numPr>
                <w:ilvl w:val="0"/>
                <w:numId w:val="20"/>
              </w:numPr>
              <w:jc w:val="both"/>
              <w:rPr>
                <w:rFonts w:ascii="Arial" w:hAnsi="Arial" w:cs="Arial"/>
                <w:sz w:val="22"/>
                <w:szCs w:val="22"/>
                <w:lang w:val="en-US"/>
              </w:rPr>
            </w:pPr>
            <w:proofErr w:type="spellStart"/>
            <w:r w:rsidRPr="00782B03">
              <w:rPr>
                <w:rFonts w:ascii="Arial" w:hAnsi="Arial" w:cs="Arial"/>
                <w:sz w:val="22"/>
                <w:szCs w:val="22"/>
                <w:lang w:val="en-US"/>
              </w:rPr>
              <w:t>János</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Csapó</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Éva</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Visi</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Vargáné</w:t>
            </w:r>
            <w:proofErr w:type="spellEnd"/>
            <w:r w:rsidRPr="00782B03">
              <w:rPr>
                <w:rFonts w:ascii="Arial" w:hAnsi="Arial" w:cs="Arial"/>
                <w:sz w:val="22"/>
                <w:szCs w:val="22"/>
                <w:lang w:val="en-US"/>
              </w:rPr>
              <w:t xml:space="preserve"> (2011): Introduction to the Chemistry of Foods and Forages. </w:t>
            </w:r>
            <w:proofErr w:type="spellStart"/>
            <w:r w:rsidRPr="00782B03">
              <w:rPr>
                <w:rFonts w:ascii="Arial" w:hAnsi="Arial" w:cs="Arial"/>
                <w:sz w:val="22"/>
                <w:szCs w:val="22"/>
                <w:lang w:val="en-US"/>
              </w:rPr>
              <w:t>Digitális</w:t>
            </w:r>
            <w:proofErr w:type="spellEnd"/>
            <w:r w:rsidRPr="00782B03">
              <w:rPr>
                <w:rFonts w:ascii="Arial" w:hAnsi="Arial" w:cs="Arial"/>
                <w:sz w:val="22"/>
                <w:szCs w:val="22"/>
                <w:lang w:val="en-US"/>
              </w:rPr>
              <w:t xml:space="preserve"> </w:t>
            </w:r>
            <w:proofErr w:type="spellStart"/>
            <w:r w:rsidRPr="00782B03">
              <w:rPr>
                <w:rFonts w:ascii="Arial" w:hAnsi="Arial" w:cs="Arial"/>
                <w:sz w:val="22"/>
                <w:szCs w:val="22"/>
                <w:lang w:val="en-US"/>
              </w:rPr>
              <w:t>tankönyvtár</w:t>
            </w:r>
            <w:proofErr w:type="spellEnd"/>
            <w:r w:rsidRPr="00782B03">
              <w:rPr>
                <w:rFonts w:ascii="Arial" w:hAnsi="Arial" w:cs="Arial"/>
                <w:sz w:val="22"/>
                <w:szCs w:val="22"/>
                <w:lang w:val="en-US"/>
              </w:rPr>
              <w:t xml:space="preserve"> (http://www.tankonyvtar.hu/hu/tartalom/tamop425/0059_chemistry_of_foods/adatok.html)</w:t>
            </w:r>
          </w:p>
          <w:p w:rsidR="002473B4" w:rsidRPr="00782B03" w:rsidRDefault="002473B4" w:rsidP="002473B4">
            <w:pPr>
              <w:numPr>
                <w:ilvl w:val="0"/>
                <w:numId w:val="20"/>
              </w:numPr>
              <w:spacing w:after="0" w:line="240" w:lineRule="auto"/>
              <w:jc w:val="both"/>
              <w:rPr>
                <w:rFonts w:ascii="Arial" w:hAnsi="Arial" w:cs="Arial"/>
                <w:lang w:val="en-US"/>
              </w:rPr>
            </w:pPr>
            <w:proofErr w:type="spellStart"/>
            <w:r w:rsidRPr="00782B03">
              <w:rPr>
                <w:rFonts w:ascii="Arial" w:hAnsi="Arial" w:cs="Arial"/>
                <w:lang w:val="en-US"/>
              </w:rPr>
              <w:t>Péter</w:t>
            </w:r>
            <w:proofErr w:type="spellEnd"/>
            <w:r w:rsidRPr="00782B03">
              <w:rPr>
                <w:rFonts w:ascii="Arial" w:hAnsi="Arial" w:cs="Arial"/>
                <w:lang w:val="en-US"/>
              </w:rPr>
              <w:t xml:space="preserve"> Sipos (2013): Quality Analysis of Agricultural Products. </w:t>
            </w:r>
            <w:proofErr w:type="spellStart"/>
            <w:r w:rsidRPr="00782B03">
              <w:rPr>
                <w:rFonts w:ascii="Arial" w:hAnsi="Arial" w:cs="Arial"/>
                <w:lang w:val="en-US"/>
              </w:rPr>
              <w:t>Digitális</w:t>
            </w:r>
            <w:proofErr w:type="spellEnd"/>
            <w:r w:rsidRPr="00782B03">
              <w:rPr>
                <w:rFonts w:ascii="Arial" w:hAnsi="Arial" w:cs="Arial"/>
                <w:lang w:val="en-US"/>
              </w:rPr>
              <w:t xml:space="preserve"> </w:t>
            </w:r>
            <w:proofErr w:type="spellStart"/>
            <w:r w:rsidRPr="00782B03">
              <w:rPr>
                <w:rFonts w:ascii="Arial" w:hAnsi="Arial" w:cs="Arial"/>
                <w:lang w:val="en-US"/>
              </w:rPr>
              <w:t>tankönyvtár</w:t>
            </w:r>
            <w:proofErr w:type="spellEnd"/>
            <w:r w:rsidRPr="00782B03">
              <w:rPr>
                <w:rFonts w:ascii="Arial" w:hAnsi="Arial" w:cs="Arial"/>
                <w:lang w:val="en-US"/>
              </w:rPr>
              <w:t xml:space="preserve"> (</w:t>
            </w:r>
            <w:hyperlink r:id="rId5" w:history="1">
              <w:r w:rsidRPr="00782B03">
                <w:rPr>
                  <w:rStyle w:val="Hiperhivatkozs"/>
                  <w:rFonts w:ascii="Arial" w:hAnsi="Arial" w:cs="Arial"/>
                  <w:lang w:val="en-US"/>
                </w:rPr>
                <w:t>http://www.tankonyvtar.hu/hu/tartalom/tamop412A/2011_0009_Sipos_Peter-Quality_Analysis_of_Agricultural_Products/ch04s02.html</w:t>
              </w:r>
            </w:hyperlink>
            <w:r w:rsidRPr="00782B03">
              <w:rPr>
                <w:rFonts w:ascii="Arial" w:hAnsi="Arial" w:cs="Arial"/>
                <w:lang w:val="en-US"/>
              </w:rPr>
              <w:t>)</w:t>
            </w:r>
          </w:p>
          <w:p w:rsidR="002473B4" w:rsidRPr="00782B03" w:rsidRDefault="002473B4" w:rsidP="002473B4">
            <w:pPr>
              <w:numPr>
                <w:ilvl w:val="0"/>
                <w:numId w:val="20"/>
              </w:numPr>
              <w:spacing w:after="0" w:line="240" w:lineRule="auto"/>
              <w:jc w:val="both"/>
              <w:rPr>
                <w:rFonts w:ascii="Arial" w:hAnsi="Arial" w:cs="Arial"/>
                <w:lang w:val="en-US"/>
              </w:rPr>
            </w:pPr>
            <w:proofErr w:type="spellStart"/>
            <w:r w:rsidRPr="00782B03">
              <w:rPr>
                <w:rFonts w:ascii="Arial" w:hAnsi="Arial" w:cs="Arial"/>
                <w:lang w:val="en-US"/>
              </w:rPr>
              <w:t>Bogdanov</w:t>
            </w:r>
            <w:proofErr w:type="spellEnd"/>
            <w:r w:rsidRPr="00782B03">
              <w:rPr>
                <w:rFonts w:ascii="Arial" w:hAnsi="Arial" w:cs="Arial"/>
                <w:lang w:val="en-US"/>
              </w:rPr>
              <w:t xml:space="preserve">, S. (2002). </w:t>
            </w:r>
            <w:proofErr w:type="spellStart"/>
            <w:r w:rsidRPr="00782B03">
              <w:rPr>
                <w:rFonts w:ascii="Arial" w:hAnsi="Arial" w:cs="Arial"/>
                <w:lang w:val="en-US"/>
              </w:rPr>
              <w:t>Harmonised</w:t>
            </w:r>
            <w:proofErr w:type="spellEnd"/>
            <w:r w:rsidRPr="00782B03">
              <w:rPr>
                <w:rFonts w:ascii="Arial" w:hAnsi="Arial" w:cs="Arial"/>
                <w:lang w:val="en-US"/>
              </w:rPr>
              <w:t xml:space="preserve"> Methods of the </w:t>
            </w:r>
            <w:proofErr w:type="spellStart"/>
            <w:r w:rsidRPr="00782B03">
              <w:rPr>
                <w:rFonts w:ascii="Arial" w:hAnsi="Arial" w:cs="Arial"/>
                <w:lang w:val="en-US"/>
              </w:rPr>
              <w:t>Interantional</w:t>
            </w:r>
            <w:proofErr w:type="spellEnd"/>
            <w:r w:rsidRPr="00782B03">
              <w:rPr>
                <w:rFonts w:ascii="Arial" w:hAnsi="Arial" w:cs="Arial"/>
                <w:lang w:val="en-US"/>
              </w:rPr>
              <w:t xml:space="preserve"> Honey Commission. Swiss Bee Research Centre. FAM, </w:t>
            </w:r>
            <w:proofErr w:type="spellStart"/>
            <w:r w:rsidRPr="00782B03">
              <w:rPr>
                <w:rFonts w:ascii="Arial" w:hAnsi="Arial" w:cs="Arial"/>
                <w:lang w:val="en-US"/>
              </w:rPr>
              <w:t>Liebefeld</w:t>
            </w:r>
            <w:proofErr w:type="spellEnd"/>
            <w:r w:rsidRPr="00782B03">
              <w:rPr>
                <w:rFonts w:ascii="Arial" w:hAnsi="Arial" w:cs="Arial"/>
                <w:lang w:val="en-US"/>
              </w:rPr>
              <w:t>, CH-3003 Bern, Switzerland</w:t>
            </w:r>
          </w:p>
          <w:p w:rsidR="002473B4" w:rsidRPr="00782B03" w:rsidRDefault="002473B4" w:rsidP="002473B4">
            <w:pPr>
              <w:numPr>
                <w:ilvl w:val="0"/>
                <w:numId w:val="20"/>
              </w:numPr>
              <w:spacing w:after="0" w:line="240" w:lineRule="auto"/>
              <w:jc w:val="both"/>
              <w:rPr>
                <w:rFonts w:ascii="Arial" w:hAnsi="Arial" w:cs="Arial"/>
                <w:lang w:val="en-US"/>
              </w:rPr>
            </w:pPr>
            <w:r w:rsidRPr="00782B03">
              <w:rPr>
                <w:rFonts w:ascii="Arial" w:hAnsi="Arial" w:cs="Arial"/>
                <w:lang w:val="en-US"/>
              </w:rPr>
              <w:t xml:space="preserve">Codex </w:t>
            </w:r>
            <w:proofErr w:type="spellStart"/>
            <w:r w:rsidRPr="00782B03">
              <w:rPr>
                <w:rFonts w:ascii="Arial" w:hAnsi="Arial" w:cs="Arial"/>
                <w:lang w:val="en-US"/>
              </w:rPr>
              <w:t>Alimentarius</w:t>
            </w:r>
            <w:proofErr w:type="spellEnd"/>
            <w:r w:rsidRPr="00782B03">
              <w:rPr>
                <w:rFonts w:ascii="Arial" w:hAnsi="Arial" w:cs="Arial"/>
                <w:lang w:val="en-US"/>
              </w:rPr>
              <w:t>; Directives</w:t>
            </w:r>
          </w:p>
        </w:tc>
      </w:tr>
      <w:tr w:rsidR="002473B4"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473B4" w:rsidRPr="00782B03" w:rsidRDefault="002473B4"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2473B4"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2473B4">
            <w:pPr>
              <w:numPr>
                <w:ilvl w:val="0"/>
                <w:numId w:val="21"/>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know important physical, chemical and biological changes in food</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know classic analytical methods to determine physicochemical parameters</w:t>
            </w:r>
          </w:p>
          <w:p w:rsidR="002473B4" w:rsidRPr="00782B03" w:rsidRDefault="002473B4" w:rsidP="002473B4">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 able to carry out laboratory tests and analysis</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Students will be able to interpret and apply new analytical methods </w:t>
            </w:r>
          </w:p>
          <w:p w:rsidR="002473B4" w:rsidRPr="00782B03" w:rsidRDefault="002473B4" w:rsidP="002473B4">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shall make efforts to solve different problems in food preparation and food industry</w:t>
            </w:r>
          </w:p>
          <w:p w:rsidR="002473B4" w:rsidRPr="00782B03" w:rsidRDefault="002473B4" w:rsidP="002473B4">
            <w:pPr>
              <w:numPr>
                <w:ilvl w:val="0"/>
                <w:numId w:val="2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2473B4" w:rsidRPr="00782B03" w:rsidRDefault="002473B4" w:rsidP="002473B4">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shall be able to take responsibility for their work</w:t>
            </w:r>
          </w:p>
        </w:tc>
      </w:tr>
    </w:tbl>
    <w:p w:rsidR="002473B4" w:rsidRPr="00782B03" w:rsidRDefault="002473B4" w:rsidP="002473B4">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473B4" w:rsidRPr="00782B03" w:rsidTr="00CD0962">
        <w:trPr>
          <w:trHeight w:val="338"/>
        </w:trPr>
        <w:tc>
          <w:tcPr>
            <w:tcW w:w="9038" w:type="dxa"/>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Nikolett</w:t>
            </w:r>
            <w:proofErr w:type="spellEnd"/>
            <w:r w:rsidRPr="00782B03">
              <w:rPr>
                <w:rFonts w:ascii="Arial" w:hAnsi="Arial" w:cs="Arial"/>
                <w:b/>
                <w:lang w:val="en-US"/>
              </w:rPr>
              <w:t xml:space="preserve"> </w:t>
            </w:r>
            <w:proofErr w:type="spellStart"/>
            <w:r w:rsidRPr="00782B03">
              <w:rPr>
                <w:rFonts w:ascii="Arial" w:hAnsi="Arial" w:cs="Arial"/>
                <w:b/>
                <w:lang w:val="en-US"/>
              </w:rPr>
              <w:t>Czipa</w:t>
            </w:r>
            <w:proofErr w:type="spellEnd"/>
            <w:r w:rsidRPr="00782B03">
              <w:rPr>
                <w:rFonts w:ascii="Arial" w:hAnsi="Arial" w:cs="Arial"/>
                <w:b/>
                <w:lang w:val="en-US"/>
              </w:rPr>
              <w:t>, associate professor</w:t>
            </w:r>
          </w:p>
        </w:tc>
      </w:tr>
      <w:tr w:rsidR="002473B4" w:rsidRPr="00782B03" w:rsidTr="00CD0962">
        <w:trPr>
          <w:trHeight w:val="337"/>
        </w:trPr>
        <w:tc>
          <w:tcPr>
            <w:tcW w:w="9038" w:type="dxa"/>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 xml:space="preserve">Other lecturer(s): </w:t>
            </w:r>
            <w:proofErr w:type="spellStart"/>
            <w:r w:rsidRPr="00782B03">
              <w:rPr>
                <w:rFonts w:ascii="Arial" w:hAnsi="Arial" w:cs="Arial"/>
                <w:b/>
                <w:lang w:val="en-US"/>
              </w:rPr>
              <w:t>Loránd</w:t>
            </w:r>
            <w:proofErr w:type="spellEnd"/>
            <w:r w:rsidRPr="00782B03">
              <w:rPr>
                <w:rFonts w:ascii="Arial" w:hAnsi="Arial" w:cs="Arial"/>
                <w:b/>
                <w:lang w:val="en-US"/>
              </w:rPr>
              <w:t xml:space="preserve"> Alexa, PhD student; Andrea </w:t>
            </w:r>
            <w:proofErr w:type="spellStart"/>
            <w:r w:rsidRPr="00782B03">
              <w:rPr>
                <w:rFonts w:ascii="Arial" w:hAnsi="Arial" w:cs="Arial"/>
                <w:b/>
                <w:lang w:val="en-US"/>
              </w:rPr>
              <w:t>Kántor</w:t>
            </w:r>
            <w:proofErr w:type="spellEnd"/>
            <w:r w:rsidRPr="00782B03">
              <w:rPr>
                <w:rFonts w:ascii="Arial" w:hAnsi="Arial" w:cs="Arial"/>
                <w:b/>
                <w:lang w:val="en-US"/>
              </w:rPr>
              <w:t xml:space="preserve">, PhD student; Andrea </w:t>
            </w:r>
            <w:proofErr w:type="spellStart"/>
            <w:r w:rsidRPr="00782B03">
              <w:rPr>
                <w:rFonts w:ascii="Arial" w:hAnsi="Arial" w:cs="Arial"/>
                <w:b/>
                <w:lang w:val="en-US"/>
              </w:rPr>
              <w:t>Bogardi</w:t>
            </w:r>
            <w:proofErr w:type="spellEnd"/>
            <w:r w:rsidRPr="00782B03">
              <w:rPr>
                <w:rFonts w:ascii="Arial" w:hAnsi="Arial" w:cs="Arial"/>
                <w:b/>
                <w:lang w:val="en-US"/>
              </w:rPr>
              <w:t xml:space="preserve"> </w:t>
            </w:r>
            <w:proofErr w:type="spellStart"/>
            <w:r w:rsidRPr="00782B03">
              <w:rPr>
                <w:rFonts w:ascii="Arial" w:hAnsi="Arial" w:cs="Arial"/>
                <w:b/>
                <w:lang w:val="en-US"/>
              </w:rPr>
              <w:t>Tóthné</w:t>
            </w:r>
            <w:proofErr w:type="spellEnd"/>
            <w:r w:rsidRPr="00782B03">
              <w:rPr>
                <w:rFonts w:ascii="Arial" w:hAnsi="Arial" w:cs="Arial"/>
                <w:b/>
                <w:lang w:val="en-US"/>
              </w:rPr>
              <w:t>, technician</w:t>
            </w:r>
          </w:p>
        </w:tc>
      </w:tr>
      <w:tr w:rsidR="002473B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2473B4">
            <w:pPr>
              <w:pStyle w:val="Listaszerbekezds"/>
              <w:numPr>
                <w:ilvl w:val="0"/>
                <w:numId w:val="23"/>
              </w:numPr>
              <w:suppressAutoHyphens/>
              <w:jc w:val="both"/>
              <w:rPr>
                <w:rFonts w:ascii="Arial" w:hAnsi="Arial" w:cs="Arial"/>
                <w:sz w:val="22"/>
                <w:szCs w:val="22"/>
                <w:lang w:val="en-US"/>
              </w:rPr>
            </w:pPr>
            <w:r w:rsidRPr="00782B03">
              <w:rPr>
                <w:rFonts w:ascii="Arial" w:hAnsi="Arial" w:cs="Arial"/>
                <w:sz w:val="22"/>
                <w:szCs w:val="22"/>
                <w:lang w:val="en-US"/>
              </w:rPr>
              <w:t>Completing exercises</w:t>
            </w:r>
          </w:p>
          <w:p w:rsidR="002473B4" w:rsidRPr="00782B03" w:rsidRDefault="002473B4" w:rsidP="002473B4">
            <w:pPr>
              <w:pStyle w:val="Listaszerbekezds"/>
              <w:numPr>
                <w:ilvl w:val="0"/>
                <w:numId w:val="23"/>
              </w:numPr>
              <w:suppressAutoHyphens/>
              <w:jc w:val="both"/>
              <w:rPr>
                <w:rFonts w:ascii="Arial" w:hAnsi="Arial" w:cs="Arial"/>
                <w:sz w:val="22"/>
                <w:szCs w:val="22"/>
                <w:lang w:val="en-US"/>
              </w:rPr>
            </w:pPr>
            <w:r w:rsidRPr="00782B03">
              <w:rPr>
                <w:rFonts w:ascii="Arial" w:hAnsi="Arial" w:cs="Arial"/>
                <w:sz w:val="22"/>
                <w:szCs w:val="22"/>
                <w:lang w:val="en-US"/>
              </w:rPr>
              <w:t>Test reports</w:t>
            </w:r>
          </w:p>
          <w:p w:rsidR="002473B4" w:rsidRPr="00782B03" w:rsidRDefault="002473B4" w:rsidP="002473B4">
            <w:pPr>
              <w:pStyle w:val="Listaszerbekezds"/>
              <w:numPr>
                <w:ilvl w:val="0"/>
                <w:numId w:val="23"/>
              </w:numPr>
              <w:suppressAutoHyphens/>
              <w:jc w:val="both"/>
              <w:rPr>
                <w:rFonts w:ascii="Arial" w:hAnsi="Arial" w:cs="Arial"/>
                <w:sz w:val="22"/>
                <w:szCs w:val="22"/>
                <w:lang w:val="en-US"/>
              </w:rPr>
            </w:pPr>
            <w:r w:rsidRPr="00782B03">
              <w:rPr>
                <w:rFonts w:ascii="Arial" w:hAnsi="Arial" w:cs="Arial"/>
                <w:sz w:val="22"/>
                <w:szCs w:val="22"/>
                <w:lang w:val="en-US"/>
              </w:rPr>
              <w:t>Successful test</w:t>
            </w:r>
          </w:p>
        </w:tc>
      </w:tr>
      <w:tr w:rsidR="002473B4"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CD0962">
            <w:pPr>
              <w:suppressAutoHyphens/>
              <w:ind w:left="34"/>
              <w:jc w:val="both"/>
              <w:rPr>
                <w:rFonts w:ascii="Arial" w:hAnsi="Arial" w:cs="Arial"/>
                <w:lang w:val="en-US"/>
              </w:rPr>
            </w:pPr>
            <w:r w:rsidRPr="00782B03">
              <w:rPr>
                <w:rFonts w:ascii="Arial" w:hAnsi="Arial" w:cs="Arial"/>
                <w:lang w:val="en-US"/>
              </w:rPr>
              <w:t>Test and practical course mark</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CD0962">
            <w:pPr>
              <w:tabs>
                <w:tab w:val="left" w:pos="1277"/>
              </w:tabs>
              <w:suppressAutoHyphens/>
              <w:ind w:left="34"/>
              <w:jc w:val="both"/>
              <w:rPr>
                <w:rFonts w:ascii="Arial" w:hAnsi="Arial" w:cs="Arial"/>
                <w:lang w:val="en-US"/>
              </w:rPr>
            </w:pPr>
            <w:r w:rsidRPr="00782B03">
              <w:rPr>
                <w:rFonts w:ascii="Arial" w:hAnsi="Arial" w:cs="Arial"/>
                <w:lang w:val="en-US"/>
              </w:rPr>
              <w:t>Successful test (60%) and participation in practices</w:t>
            </w:r>
          </w:p>
        </w:tc>
      </w:tr>
    </w:tbl>
    <w:p w:rsidR="002473B4" w:rsidRPr="00782B03" w:rsidRDefault="002473B4" w:rsidP="002473B4">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473B4"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473B4" w:rsidRPr="00782B03" w:rsidRDefault="002473B4"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2473B4"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473B4" w:rsidRPr="00782B03" w:rsidRDefault="002473B4" w:rsidP="002473B4">
            <w:pPr>
              <w:pStyle w:val="Listaszerbekezds"/>
              <w:numPr>
                <w:ilvl w:val="0"/>
                <w:numId w:val="22"/>
              </w:numPr>
              <w:suppressAutoHyphens/>
              <w:jc w:val="both"/>
              <w:rPr>
                <w:rFonts w:ascii="Arial" w:hAnsi="Arial" w:cs="Arial"/>
                <w:sz w:val="22"/>
                <w:szCs w:val="22"/>
                <w:lang w:val="en-US"/>
              </w:rPr>
            </w:pPr>
            <w:proofErr w:type="spellStart"/>
            <w:r w:rsidRPr="00782B03">
              <w:rPr>
                <w:rFonts w:ascii="Arial" w:hAnsi="Arial" w:cs="Arial"/>
                <w:sz w:val="22"/>
                <w:szCs w:val="22"/>
                <w:lang w:val="en-US"/>
              </w:rPr>
              <w:t>Characterisation</w:t>
            </w:r>
            <w:proofErr w:type="spellEnd"/>
            <w:r w:rsidRPr="00782B03">
              <w:rPr>
                <w:rFonts w:ascii="Arial" w:hAnsi="Arial" w:cs="Arial"/>
                <w:sz w:val="22"/>
                <w:szCs w:val="22"/>
                <w:lang w:val="en-US"/>
              </w:rPr>
              <w:t xml:space="preserve"> of food ingredients </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Requirements for sampling</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dry matter and moisture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ash content and electrical conductivity</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lipid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protein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TDF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 xml:space="preserve">Determination of vitamin C </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diastase activity</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total phenolic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flavonoid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amino acid content</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pH, acid content and acidity</w:t>
            </w:r>
          </w:p>
          <w:p w:rsidR="002473B4" w:rsidRPr="00782B03" w:rsidRDefault="002473B4" w:rsidP="002473B4">
            <w:pPr>
              <w:pStyle w:val="Listaszerbekezds"/>
              <w:numPr>
                <w:ilvl w:val="0"/>
                <w:numId w:val="22"/>
              </w:numPr>
              <w:suppressAutoHyphens/>
              <w:jc w:val="both"/>
              <w:rPr>
                <w:rFonts w:ascii="Arial" w:hAnsi="Arial" w:cs="Arial"/>
                <w:sz w:val="22"/>
                <w:szCs w:val="22"/>
                <w:lang w:val="en-US"/>
              </w:rPr>
            </w:pPr>
            <w:r w:rsidRPr="00782B03">
              <w:rPr>
                <w:rFonts w:ascii="Arial" w:hAnsi="Arial" w:cs="Arial"/>
                <w:sz w:val="22"/>
                <w:szCs w:val="22"/>
                <w:lang w:val="en-US"/>
              </w:rPr>
              <w:t>Determination of physicochemical parameters of beer</w:t>
            </w:r>
          </w:p>
        </w:tc>
      </w:tr>
    </w:tbl>
    <w:p w:rsidR="00F42A96" w:rsidRPr="002473B4" w:rsidRDefault="00F42A96" w:rsidP="002473B4"/>
    <w:sectPr w:rsidR="00F42A96" w:rsidRPr="00247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61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2614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EE4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7F7D20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8"/>
  </w:num>
  <w:num w:numId="5">
    <w:abstractNumId w:val="7"/>
  </w:num>
  <w:num w:numId="6">
    <w:abstractNumId w:val="14"/>
  </w:num>
  <w:num w:numId="7">
    <w:abstractNumId w:val="5"/>
  </w:num>
  <w:num w:numId="8">
    <w:abstractNumId w:val="9"/>
  </w:num>
  <w:num w:numId="9">
    <w:abstractNumId w:val="21"/>
  </w:num>
  <w:num w:numId="10">
    <w:abstractNumId w:val="16"/>
  </w:num>
  <w:num w:numId="11">
    <w:abstractNumId w:val="19"/>
  </w:num>
  <w:num w:numId="12">
    <w:abstractNumId w:val="2"/>
  </w:num>
  <w:num w:numId="13">
    <w:abstractNumId w:val="1"/>
  </w:num>
  <w:num w:numId="14">
    <w:abstractNumId w:val="6"/>
  </w:num>
  <w:num w:numId="15">
    <w:abstractNumId w:val="17"/>
  </w:num>
  <w:num w:numId="16">
    <w:abstractNumId w:val="8"/>
  </w:num>
  <w:num w:numId="17">
    <w:abstractNumId w:val="3"/>
  </w:num>
  <w:num w:numId="18">
    <w:abstractNumId w:val="20"/>
  </w:num>
  <w:num w:numId="19">
    <w:abstractNumId w:val="10"/>
  </w:num>
  <w:num w:numId="20">
    <w:abstractNumId w:val="4"/>
  </w:num>
  <w:num w:numId="21">
    <w:abstractNumId w:val="0"/>
  </w:num>
  <w:num w:numId="22">
    <w:abstractNumId w:val="12"/>
  </w:num>
  <w:num w:numId="2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2473B4"/>
    <w:rsid w:val="003777F0"/>
    <w:rsid w:val="004600AD"/>
    <w:rsid w:val="00576CBA"/>
    <w:rsid w:val="00582EF4"/>
    <w:rsid w:val="00632521"/>
    <w:rsid w:val="0067754A"/>
    <w:rsid w:val="00A35D3B"/>
    <w:rsid w:val="00B07011"/>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konyvtar.hu/hu/tartalom/tamop412A/2011_0009_Sipos_Peter-Quality_Analysis_of_Agricultural_Products/ch04s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3966</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2019-08-28T09:47:00Z</dcterms:created>
  <dcterms:modified xsi:type="dcterms:W3CDTF">2019-08-28T09:47:00Z</dcterms:modified>
</cp:coreProperties>
</file>