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2A6EC0" w:rsidRPr="004B40E4" w:rsidTr="00CD0962">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Default="002A6EC0" w:rsidP="00CD0962">
            <w:pPr>
              <w:spacing w:line="256" w:lineRule="auto"/>
              <w:jc w:val="both"/>
              <w:rPr>
                <w:rFonts w:ascii="Arial" w:hAnsi="Arial" w:cs="Arial"/>
                <w:b/>
                <w:color w:val="auto"/>
                <w:sz w:val="22"/>
                <w:szCs w:val="22"/>
                <w:lang w:eastAsia="en-US"/>
              </w:rPr>
            </w:pPr>
            <w:proofErr w:type="spellStart"/>
            <w:r w:rsidRPr="004B40E4">
              <w:rPr>
                <w:rFonts w:ascii="Arial" w:hAnsi="Arial" w:cs="Arial"/>
                <w:b/>
                <w:color w:val="auto"/>
                <w:sz w:val="22"/>
                <w:szCs w:val="22"/>
                <w:lang w:eastAsia="en-US"/>
              </w:rPr>
              <w:t>Title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Code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w:t>
            </w:r>
            <w:r w:rsidRPr="004B40E4">
              <w:rPr>
                <w:rFonts w:ascii="Arial" w:hAnsi="Arial" w:cs="Arial"/>
                <w:b/>
                <w:color w:val="auto"/>
                <w:sz w:val="22"/>
                <w:szCs w:val="22"/>
                <w:lang w:eastAsia="en-US"/>
              </w:rPr>
              <w:t xml:space="preserve"> </w:t>
            </w:r>
          </w:p>
          <w:p w:rsidR="002A6EC0" w:rsidRPr="004B40E4" w:rsidRDefault="002A6EC0" w:rsidP="002A6EC0">
            <w:pPr>
              <w:spacing w:line="256" w:lineRule="auto"/>
              <w:jc w:val="both"/>
              <w:rPr>
                <w:rFonts w:ascii="Arial" w:eastAsia="Times New Roman" w:hAnsi="Arial" w:cs="Arial"/>
                <w:b/>
                <w:i/>
                <w:color w:val="auto"/>
                <w:sz w:val="22"/>
                <w:szCs w:val="22"/>
                <w:lang w:eastAsia="en-US"/>
              </w:rPr>
            </w:pPr>
            <w:bookmarkStart w:id="0" w:name="_GoBack"/>
            <w:proofErr w:type="spellStart"/>
            <w:r w:rsidRPr="004B40E4">
              <w:rPr>
                <w:rFonts w:ascii="Arial" w:hAnsi="Arial" w:cs="Arial"/>
                <w:b/>
                <w:color w:val="auto"/>
                <w:sz w:val="22"/>
                <w:szCs w:val="22"/>
                <w:lang w:eastAsia="en-US"/>
              </w:rPr>
              <w:t>Essential</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molecular</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cell</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biology</w:t>
            </w:r>
            <w:proofErr w:type="spellEnd"/>
            <w:r>
              <w:rPr>
                <w:rFonts w:ascii="Arial" w:hAnsi="Arial" w:cs="Arial"/>
                <w:b/>
                <w:color w:val="auto"/>
                <w:sz w:val="22"/>
                <w:szCs w:val="22"/>
                <w:lang w:eastAsia="en-US"/>
              </w:rPr>
              <w:t>,</w:t>
            </w:r>
            <w:r w:rsidRPr="004B40E4">
              <w:rPr>
                <w:rFonts w:ascii="Arial" w:hAnsi="Arial" w:cs="Arial"/>
                <w:b/>
                <w:color w:val="auto"/>
                <w:sz w:val="22"/>
                <w:szCs w:val="22"/>
                <w:lang w:eastAsia="en-US"/>
              </w:rPr>
              <w:t xml:space="preserve"> MTMEL7010A</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color w:val="auto"/>
                <w:sz w:val="22"/>
                <w:szCs w:val="22"/>
                <w:lang w:eastAsia="en-US"/>
              </w:rPr>
            </w:pPr>
            <w:r w:rsidRPr="004B40E4">
              <w:rPr>
                <w:rFonts w:ascii="Arial" w:hAnsi="Arial" w:cs="Arial"/>
                <w:b/>
                <w:color w:val="auto"/>
                <w:sz w:val="22"/>
                <w:szCs w:val="22"/>
                <w:lang w:eastAsia="en-US"/>
              </w:rPr>
              <w:t xml:space="preserve">ECTS Credit </w:t>
            </w:r>
            <w:proofErr w:type="spellStart"/>
            <w:r w:rsidRPr="004B40E4">
              <w:rPr>
                <w:rFonts w:ascii="Arial" w:hAnsi="Arial" w:cs="Arial"/>
                <w:b/>
                <w:color w:val="auto"/>
                <w:sz w:val="22"/>
                <w:szCs w:val="22"/>
                <w:lang w:eastAsia="en-US"/>
              </w:rPr>
              <w:t>Points</w:t>
            </w:r>
            <w:proofErr w:type="spellEnd"/>
            <w:r w:rsidRPr="004B40E4">
              <w:rPr>
                <w:rFonts w:ascii="Arial" w:hAnsi="Arial" w:cs="Arial"/>
                <w:b/>
                <w:color w:val="auto"/>
                <w:sz w:val="22"/>
                <w:szCs w:val="22"/>
                <w:lang w:eastAsia="en-US"/>
              </w:rPr>
              <w:t>: 4</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compulsory</w:t>
            </w:r>
            <w:proofErr w:type="spellEnd"/>
            <w:r w:rsidRPr="004B40E4">
              <w:rPr>
                <w:rFonts w:ascii="Arial" w:hAnsi="Arial" w:cs="Arial"/>
                <w:color w:val="auto"/>
                <w:sz w:val="22"/>
                <w:szCs w:val="22"/>
                <w:lang w:eastAsia="en-US"/>
              </w:rPr>
              <w:t xml:space="preserve"> </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40" w:after="40" w:line="256" w:lineRule="auto"/>
              <w:jc w:val="both"/>
              <w:rPr>
                <w:rFonts w:ascii="Arial" w:eastAsia="Times New Roman" w:hAnsi="Arial" w:cs="Arial"/>
                <w:color w:val="auto"/>
                <w:sz w:val="22"/>
                <w:szCs w:val="22"/>
                <w:lang w:eastAsia="en-US"/>
              </w:rPr>
            </w:pPr>
            <w:r w:rsidRPr="004B40E4">
              <w:rPr>
                <w:rFonts w:ascii="Arial" w:hAnsi="Arial" w:cs="Arial"/>
                <w:b/>
                <w:color w:val="auto"/>
                <w:sz w:val="22"/>
                <w:szCs w:val="22"/>
                <w:lang w:eastAsia="en-US"/>
              </w:rPr>
              <w:t xml:space="preserve">Ratio of </w:t>
            </w:r>
            <w:proofErr w:type="spellStart"/>
            <w:r w:rsidRPr="004B40E4">
              <w:rPr>
                <w:rFonts w:ascii="Arial" w:hAnsi="Arial" w:cs="Arial"/>
                <w:b/>
                <w:color w:val="auto"/>
                <w:sz w:val="22"/>
                <w:szCs w:val="22"/>
                <w:lang w:eastAsia="en-US"/>
              </w:rPr>
              <w:t>theory</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practice</w:t>
            </w:r>
            <w:proofErr w:type="spellEnd"/>
            <w:r w:rsidRPr="004B40E4">
              <w:rPr>
                <w:rFonts w:ascii="Arial" w:hAnsi="Arial" w:cs="Arial"/>
                <w:b/>
                <w:color w:val="auto"/>
                <w:sz w:val="22"/>
                <w:szCs w:val="22"/>
                <w:lang w:eastAsia="en-US"/>
              </w:rPr>
              <w:t>: 50/</w:t>
            </w:r>
            <w:proofErr w:type="spellStart"/>
            <w:r w:rsidRPr="004B40E4">
              <w:rPr>
                <w:rFonts w:ascii="Arial" w:hAnsi="Arial" w:cs="Arial"/>
                <w:b/>
                <w:color w:val="auto"/>
                <w:sz w:val="22"/>
                <w:szCs w:val="22"/>
                <w:lang w:eastAsia="en-US"/>
              </w:rPr>
              <w:t>50</w:t>
            </w:r>
            <w:proofErr w:type="spellEnd"/>
            <w:r w:rsidRPr="004B40E4">
              <w:rPr>
                <w:rFonts w:ascii="Arial" w:hAnsi="Arial" w:cs="Arial"/>
                <w:b/>
                <w:color w:val="auto"/>
                <w:sz w:val="22"/>
                <w:szCs w:val="22"/>
                <w:lang w:eastAsia="en-US"/>
              </w:rPr>
              <w:t xml:space="preserve"> </w:t>
            </w:r>
            <w:r w:rsidRPr="004B40E4">
              <w:rPr>
                <w:rFonts w:ascii="Arial" w:hAnsi="Arial" w:cs="Arial"/>
                <w:color w:val="auto"/>
                <w:sz w:val="22"/>
                <w:szCs w:val="22"/>
                <w:lang w:eastAsia="en-US"/>
              </w:rPr>
              <w:t>(</w:t>
            </w:r>
            <w:proofErr w:type="spellStart"/>
            <w:r w:rsidRPr="004B40E4">
              <w:rPr>
                <w:rFonts w:ascii="Arial" w:hAnsi="Arial" w:cs="Arial"/>
                <w:color w:val="auto"/>
                <w:sz w:val="22"/>
                <w:szCs w:val="22"/>
                <w:lang w:eastAsia="en-US"/>
              </w:rPr>
              <w:t>credit%</w:t>
            </w:r>
            <w:proofErr w:type="spellEnd"/>
            <w:r w:rsidRPr="004B40E4">
              <w:rPr>
                <w:rFonts w:ascii="Arial" w:hAnsi="Arial" w:cs="Arial"/>
                <w:color w:val="auto"/>
                <w:sz w:val="22"/>
                <w:szCs w:val="22"/>
                <w:lang w:eastAsia="en-US"/>
              </w:rPr>
              <w:t>)</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number</w:t>
            </w:r>
            <w:proofErr w:type="spellEnd"/>
            <w:r w:rsidRPr="004B40E4">
              <w:rPr>
                <w:rFonts w:ascii="Arial" w:hAnsi="Arial" w:cs="Arial"/>
                <w:b/>
                <w:color w:val="auto"/>
                <w:sz w:val="22"/>
                <w:szCs w:val="22"/>
                <w:lang w:eastAsia="en-US"/>
              </w:rPr>
              <w:t xml:space="preserve"> of </w:t>
            </w:r>
            <w:proofErr w:type="spellStart"/>
            <w:r w:rsidRPr="004B40E4">
              <w:rPr>
                <w:rFonts w:ascii="Arial" w:hAnsi="Arial" w:cs="Arial"/>
                <w:b/>
                <w:color w:val="auto"/>
                <w:sz w:val="22"/>
                <w:szCs w:val="22"/>
                <w:lang w:eastAsia="en-US"/>
              </w:rPr>
              <w:t>classes</w:t>
            </w:r>
            <w:proofErr w:type="spellEnd"/>
            <w:r w:rsidRPr="004B40E4">
              <w:rPr>
                <w:rFonts w:ascii="Arial" w:hAnsi="Arial" w:cs="Arial"/>
                <w:b/>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proofErr w:type="gramStart"/>
            <w:r w:rsidRPr="004B40E4">
              <w:rPr>
                <w:rFonts w:ascii="Arial" w:hAnsi="Arial" w:cs="Arial"/>
                <w:color w:val="auto"/>
                <w:sz w:val="22"/>
                <w:szCs w:val="22"/>
                <w:lang w:eastAsia="en-US"/>
              </w:rPr>
              <w:t>: ..</w:t>
            </w:r>
            <w:proofErr w:type="gram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w:t>
            </w:r>
          </w:p>
          <w:p w:rsidR="002A6EC0" w:rsidRPr="004B40E4" w:rsidRDefault="002A6EC0" w:rsidP="00CD0962">
            <w:pPr>
              <w:spacing w:before="60" w:line="256" w:lineRule="auto"/>
              <w:jc w:val="both"/>
              <w:rPr>
                <w:rFonts w:ascii="Arial" w:eastAsia="Times New Roman" w:hAnsi="Arial" w:cs="Arial"/>
                <w:color w:val="auto"/>
                <w:sz w:val="22"/>
                <w:szCs w:val="22"/>
                <w:lang w:eastAsia="en-US"/>
              </w:rPr>
            </w:pPr>
            <w:proofErr w:type="spellStart"/>
            <w:r w:rsidRPr="004B40E4">
              <w:rPr>
                <w:rFonts w:ascii="Arial" w:hAnsi="Arial" w:cs="Arial"/>
                <w:color w:val="auto"/>
                <w:sz w:val="22"/>
                <w:szCs w:val="22"/>
                <w:lang w:eastAsia="en-US"/>
              </w:rPr>
              <w:t>Number</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teaching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hours</w:t>
            </w:r>
            <w:proofErr w:type="spellEnd"/>
            <w:r w:rsidRPr="004B40E4">
              <w:rPr>
                <w:rFonts w:ascii="Arial" w:hAnsi="Arial" w:cs="Arial"/>
                <w:color w:val="auto"/>
                <w:sz w:val="22"/>
                <w:szCs w:val="22"/>
                <w:lang w:eastAsia="en-US"/>
              </w:rPr>
              <w:t xml:space="preserve"> / </w:t>
            </w:r>
            <w:proofErr w:type="spellStart"/>
            <w:proofErr w:type="gramStart"/>
            <w:r w:rsidRPr="004B40E4">
              <w:rPr>
                <w:rFonts w:ascii="Arial" w:hAnsi="Arial" w:cs="Arial"/>
                <w:color w:val="auto"/>
                <w:sz w:val="22"/>
                <w:szCs w:val="22"/>
                <w:lang w:eastAsia="en-US"/>
              </w:rPr>
              <w:t>week</w:t>
            </w:r>
            <w:proofErr w:type="spellEnd"/>
            <w:r w:rsidRPr="004B40E4">
              <w:rPr>
                <w:rFonts w:ascii="Arial" w:hAnsi="Arial" w:cs="Arial"/>
                <w:color w:val="auto"/>
                <w:sz w:val="22"/>
                <w:szCs w:val="22"/>
                <w:lang w:eastAsia="en-US"/>
              </w:rPr>
              <w:t xml:space="preserve"> :</w:t>
            </w:r>
            <w:proofErr w:type="gramEnd"/>
            <w:r w:rsidRPr="004B40E4">
              <w:rPr>
                <w:rFonts w:ascii="Arial" w:hAnsi="Arial" w:cs="Arial"/>
                <w:color w:val="auto"/>
                <w:sz w:val="22"/>
                <w:szCs w:val="22"/>
                <w:lang w:eastAsia="en-US"/>
              </w:rPr>
              <w:t xml:space="preserve"> 2+</w:t>
            </w:r>
            <w:proofErr w:type="spellStart"/>
            <w:r w:rsidRPr="004B40E4">
              <w:rPr>
                <w:rFonts w:ascii="Arial" w:hAnsi="Arial" w:cs="Arial"/>
                <w:color w:val="auto"/>
                <w:sz w:val="22"/>
                <w:szCs w:val="22"/>
                <w:lang w:eastAsia="en-US"/>
              </w:rPr>
              <w:t>2</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Type</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exam</w:t>
            </w:r>
            <w:proofErr w:type="spellEnd"/>
            <w:r w:rsidRPr="004B40E4">
              <w:rPr>
                <w:rFonts w:ascii="Arial" w:hAnsi="Arial" w:cs="Arial"/>
                <w:sz w:val="22"/>
                <w:szCs w:val="22"/>
                <w:lang w:eastAsia="en-US"/>
              </w:rPr>
              <w:t xml:space="preserve"> </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line="256" w:lineRule="auto"/>
              <w:jc w:val="both"/>
              <w:rPr>
                <w:rFonts w:ascii="Arial" w:eastAsia="Times New Roman" w:hAnsi="Arial" w:cs="Arial"/>
                <w:sz w:val="22"/>
                <w:szCs w:val="22"/>
                <w:lang w:eastAsia="en-US"/>
              </w:rPr>
            </w:pPr>
            <w:proofErr w:type="spellStart"/>
            <w:r w:rsidRPr="004B40E4">
              <w:rPr>
                <w:rFonts w:ascii="Arial" w:hAnsi="Arial" w:cs="Arial"/>
                <w:b/>
                <w:sz w:val="22"/>
                <w:szCs w:val="22"/>
                <w:lang w:eastAsia="en-US"/>
              </w:rPr>
              <w:t>Subject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in</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the</w:t>
            </w:r>
            <w:proofErr w:type="spellEnd"/>
            <w:r w:rsidRPr="004B40E4">
              <w:rPr>
                <w:rFonts w:ascii="Arial" w:hAnsi="Arial" w:cs="Arial"/>
                <w:b/>
                <w:sz w:val="22"/>
                <w:szCs w:val="22"/>
                <w:lang w:eastAsia="en-US"/>
              </w:rPr>
              <w:t xml:space="preserve"> curriculum:</w:t>
            </w:r>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semester</w:t>
            </w:r>
            <w:proofErr w:type="spellEnd"/>
            <w:r w:rsidRPr="004B40E4">
              <w:rPr>
                <w:rFonts w:ascii="Arial" w:hAnsi="Arial" w:cs="Arial"/>
                <w:sz w:val="22"/>
                <w:szCs w:val="22"/>
                <w:lang w:eastAsia="en-US"/>
              </w:rPr>
              <w:t xml:space="preserve"> 2</w:t>
            </w:r>
          </w:p>
        </w:tc>
      </w:tr>
      <w:tr w:rsidR="002A6EC0"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line="256" w:lineRule="auto"/>
              <w:jc w:val="both"/>
              <w:rPr>
                <w:rFonts w:ascii="Arial" w:eastAsia="Times New Roman" w:hAnsi="Arial" w:cs="Arial"/>
                <w:sz w:val="22"/>
                <w:szCs w:val="22"/>
                <w:lang w:eastAsia="en-US"/>
              </w:rPr>
            </w:pPr>
            <w:proofErr w:type="spellStart"/>
            <w:r w:rsidRPr="004B40E4">
              <w:rPr>
                <w:rFonts w:ascii="Arial" w:hAnsi="Arial" w:cs="Arial"/>
                <w:sz w:val="22"/>
                <w:szCs w:val="22"/>
                <w:lang w:eastAsia="en-US"/>
              </w:rPr>
              <w:t>Preliminary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requirements</w:t>
            </w:r>
            <w:proofErr w:type="spellEnd"/>
            <w:r w:rsidRPr="004B40E4">
              <w:rPr>
                <w:rFonts w:ascii="Arial" w:hAnsi="Arial" w:cs="Arial"/>
                <w:sz w:val="22"/>
                <w:szCs w:val="22"/>
                <w:lang w:eastAsia="en-US"/>
              </w:rPr>
              <w:t>:</w:t>
            </w:r>
            <w:r w:rsidRPr="004B40E4">
              <w:rPr>
                <w:rFonts w:ascii="Arial" w:hAnsi="Arial" w:cs="Arial"/>
                <w:i/>
                <w:sz w:val="22"/>
                <w:szCs w:val="22"/>
                <w:lang w:eastAsia="en-US"/>
              </w:rPr>
              <w:t xml:space="preserve"> </w:t>
            </w:r>
            <w:r w:rsidRPr="004B40E4">
              <w:rPr>
                <w:rFonts w:ascii="Arial" w:hAnsi="Arial" w:cs="Arial"/>
                <w:sz w:val="22"/>
                <w:szCs w:val="22"/>
                <w:lang w:eastAsia="en-US"/>
              </w:rPr>
              <w:t>-</w:t>
            </w:r>
          </w:p>
        </w:tc>
      </w:tr>
    </w:tbl>
    <w:p w:rsidR="002A6EC0" w:rsidRPr="004B40E4" w:rsidRDefault="002A6EC0" w:rsidP="002A6EC0">
      <w:pPr>
        <w:rPr>
          <w:rFonts w:ascii="Arial" w:eastAsia="Times New Roman"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6EC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sz w:val="22"/>
                <w:szCs w:val="22"/>
                <w:lang w:val="en-US" w:eastAsia="en-US"/>
              </w:rPr>
            </w:pPr>
            <w:r w:rsidRPr="004B40E4">
              <w:rPr>
                <w:rFonts w:ascii="Arial" w:hAnsi="Arial" w:cs="Arial"/>
                <w:b/>
                <w:sz w:val="22"/>
                <w:szCs w:val="22"/>
                <w:lang w:val="en-US" w:eastAsia="en-US"/>
              </w:rPr>
              <w:t xml:space="preserve">Summary of content - </w:t>
            </w:r>
            <w:r w:rsidRPr="004B40E4">
              <w:rPr>
                <w:rFonts w:ascii="Arial" w:hAnsi="Arial" w:cs="Arial"/>
                <w:b/>
                <w:sz w:val="22"/>
                <w:szCs w:val="22"/>
                <w:u w:val="single"/>
                <w:lang w:val="en-US" w:eastAsia="en-US"/>
              </w:rPr>
              <w:t>theory</w:t>
            </w:r>
            <w:r w:rsidRPr="004B40E4">
              <w:rPr>
                <w:rFonts w:ascii="Arial" w:hAnsi="Arial" w:cs="Arial"/>
                <w:sz w:val="22"/>
                <w:szCs w:val="22"/>
                <w:lang w:val="en-US" w:eastAsia="en-US"/>
              </w:rPr>
              <w:t xml:space="preserve">: </w:t>
            </w:r>
          </w:p>
          <w:p w:rsidR="002A6EC0" w:rsidRPr="004B40E4" w:rsidRDefault="002A6EC0" w:rsidP="00CD0962">
            <w:pPr>
              <w:spacing w:before="60" w:line="256" w:lineRule="auto"/>
              <w:jc w:val="both"/>
              <w:rPr>
                <w:rFonts w:ascii="Arial" w:eastAsia="Times New Roman" w:hAnsi="Arial" w:cs="Arial"/>
                <w:b/>
                <w:sz w:val="22"/>
                <w:szCs w:val="22"/>
                <w:lang w:eastAsia="en-US"/>
              </w:rPr>
            </w:pPr>
            <w:r w:rsidRPr="004B40E4">
              <w:rPr>
                <w:rFonts w:ascii="Arial" w:hAnsi="Arial" w:cs="Arial"/>
                <w:sz w:val="22"/>
                <w:szCs w:val="22"/>
                <w:lang w:val="en-US" w:eastAsia="en-US"/>
              </w:rPr>
              <w:t>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genomic integrity and evolution.</w:t>
            </w:r>
            <w:r w:rsidRPr="004B40E4">
              <w:rPr>
                <w:rFonts w:ascii="Arial" w:hAnsi="Arial" w:cs="Arial"/>
                <w:sz w:val="22"/>
                <w:szCs w:val="22"/>
                <w:lang w:eastAsia="en-US"/>
              </w:rPr>
              <w:t xml:space="preserve">  </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2A6EC0" w:rsidRPr="004B40E4" w:rsidRDefault="002A6EC0" w:rsidP="00CD0962">
            <w:pPr>
              <w:spacing w:line="256" w:lineRule="auto"/>
              <w:ind w:left="34"/>
              <w:jc w:val="both"/>
              <w:rPr>
                <w:rFonts w:ascii="Arial" w:eastAsia="Times New Roman" w:hAnsi="Arial" w:cs="Arial"/>
                <w:sz w:val="22"/>
                <w:szCs w:val="22"/>
                <w:lang w:val="en-US" w:eastAsia="en-US"/>
              </w:rPr>
            </w:pPr>
            <w:r w:rsidRPr="004B40E4">
              <w:rPr>
                <w:rFonts w:ascii="Arial" w:hAnsi="Arial" w:cs="Arial"/>
                <w:sz w:val="22"/>
                <w:szCs w:val="22"/>
                <w:lang w:val="en-US" w:eastAsia="en-US"/>
              </w:rPr>
              <w:t>Course objectives:</w:t>
            </w:r>
          </w:p>
          <w:p w:rsidR="002A6EC0" w:rsidRPr="004B40E4" w:rsidRDefault="002A6EC0" w:rsidP="00CD0962">
            <w:pPr>
              <w:spacing w:line="256" w:lineRule="auto"/>
              <w:ind w:left="34"/>
              <w:jc w:val="both"/>
              <w:rPr>
                <w:rFonts w:ascii="Arial" w:hAnsi="Arial" w:cs="Arial"/>
                <w:sz w:val="22"/>
                <w:szCs w:val="22"/>
                <w:lang w:val="en-US" w:eastAsia="en-US"/>
              </w:rPr>
            </w:pPr>
          </w:p>
          <w:p w:rsidR="002A6EC0" w:rsidRPr="004B40E4" w:rsidRDefault="002A6EC0" w:rsidP="00CD0962">
            <w:pPr>
              <w:spacing w:line="256" w:lineRule="auto"/>
              <w:ind w:left="34"/>
              <w:jc w:val="both"/>
              <w:rPr>
                <w:rStyle w:val="st"/>
                <w:rFonts w:ascii="Arial" w:hAnsi="Arial" w:cs="Arial"/>
                <w:sz w:val="22"/>
                <w:szCs w:val="22"/>
              </w:rPr>
            </w:pPr>
            <w:r w:rsidRPr="004B40E4">
              <w:rPr>
                <w:rStyle w:val="st"/>
                <w:rFonts w:ascii="Arial" w:hAnsi="Arial" w:cs="Arial"/>
                <w:sz w:val="22"/>
                <w:szCs w:val="22"/>
                <w:lang w:val="en-US" w:eastAsia="en-US"/>
              </w:rPr>
              <w:t>1-3. Analysis of cellular and molecular levels of organization of living material, and system biology type of investigation methods.</w:t>
            </w:r>
          </w:p>
          <w:p w:rsidR="002A6EC0" w:rsidRPr="004B40E4" w:rsidRDefault="002A6EC0" w:rsidP="00CD0962">
            <w:pPr>
              <w:spacing w:line="256" w:lineRule="auto"/>
              <w:ind w:left="34"/>
              <w:jc w:val="both"/>
              <w:rPr>
                <w:rStyle w:val="st"/>
                <w:rFonts w:ascii="Arial" w:hAnsi="Arial" w:cs="Arial"/>
                <w:sz w:val="22"/>
                <w:szCs w:val="22"/>
                <w:lang w:val="en-US" w:eastAsia="en-US"/>
              </w:rPr>
            </w:pPr>
            <w:r w:rsidRPr="004B40E4">
              <w:rPr>
                <w:rStyle w:val="st"/>
                <w:rFonts w:ascii="Arial" w:hAnsi="Arial" w:cs="Arial"/>
                <w:sz w:val="22"/>
                <w:szCs w:val="22"/>
                <w:lang w:val="en-US" w:eastAsia="en-US"/>
              </w:rPr>
              <w:t>4-5. Regulation of eukaryotic gene expression: transcription, translation, protein folding and degradation. The genomic integrity.</w:t>
            </w:r>
          </w:p>
          <w:p w:rsidR="002A6EC0" w:rsidRPr="004B40E4" w:rsidRDefault="002A6EC0" w:rsidP="00CD0962">
            <w:pPr>
              <w:spacing w:line="256" w:lineRule="auto"/>
              <w:ind w:left="34"/>
              <w:jc w:val="both"/>
              <w:rPr>
                <w:rStyle w:val="st"/>
                <w:rFonts w:ascii="Arial" w:hAnsi="Arial" w:cs="Arial"/>
                <w:sz w:val="22"/>
                <w:szCs w:val="22"/>
                <w:lang w:val="en-US" w:eastAsia="en-US"/>
              </w:rPr>
            </w:pPr>
            <w:r w:rsidRPr="004B40E4">
              <w:rPr>
                <w:rStyle w:val="st"/>
                <w:rFonts w:ascii="Arial" w:hAnsi="Arial" w:cs="Arial"/>
                <w:sz w:val="22"/>
                <w:szCs w:val="22"/>
                <w:lang w:val="en-US" w:eastAsia="en-US"/>
              </w:rPr>
              <w:t xml:space="preserve">6-7. Epigenetic regulation of gene expression. Morphogenetic events and cell differentiation. Diurnal cycle. </w:t>
            </w:r>
          </w:p>
          <w:p w:rsidR="002A6EC0" w:rsidRPr="004B40E4" w:rsidRDefault="002A6EC0" w:rsidP="00CD0962">
            <w:pPr>
              <w:spacing w:line="256" w:lineRule="auto"/>
              <w:ind w:left="34"/>
              <w:jc w:val="both"/>
              <w:rPr>
                <w:rStyle w:val="st"/>
                <w:rFonts w:ascii="Arial" w:hAnsi="Arial" w:cs="Arial"/>
                <w:sz w:val="22"/>
                <w:szCs w:val="22"/>
                <w:lang w:val="en-US" w:eastAsia="en-US"/>
              </w:rPr>
            </w:pPr>
            <w:r w:rsidRPr="004B40E4">
              <w:rPr>
                <w:rStyle w:val="st"/>
                <w:rFonts w:ascii="Arial" w:hAnsi="Arial" w:cs="Arial"/>
                <w:sz w:val="22"/>
                <w:szCs w:val="22"/>
                <w:lang w:val="en-US" w:eastAsia="en-US"/>
              </w:rPr>
              <w:t>8-9. Eukaryotic cells metabolism and energetic management, and the regulation of cellular homeostasis.</w:t>
            </w:r>
          </w:p>
          <w:p w:rsidR="002A6EC0" w:rsidRPr="004B40E4" w:rsidRDefault="002A6EC0" w:rsidP="00CD0962">
            <w:pPr>
              <w:spacing w:line="256" w:lineRule="auto"/>
              <w:ind w:left="34"/>
              <w:jc w:val="both"/>
              <w:rPr>
                <w:rStyle w:val="st"/>
                <w:rFonts w:ascii="Arial" w:hAnsi="Arial" w:cs="Arial"/>
                <w:sz w:val="22"/>
                <w:szCs w:val="22"/>
                <w:lang w:val="en-US" w:eastAsia="en-US"/>
              </w:rPr>
            </w:pPr>
            <w:r w:rsidRPr="004B40E4">
              <w:rPr>
                <w:rStyle w:val="st"/>
                <w:rFonts w:ascii="Arial" w:hAnsi="Arial" w:cs="Arial"/>
                <w:sz w:val="22"/>
                <w:szCs w:val="22"/>
                <w:lang w:val="en-US" w:eastAsia="en-US"/>
              </w:rPr>
              <w:t>10-11. Cellular redox potential, ageing and adaptive stress responses.</w:t>
            </w:r>
          </w:p>
          <w:p w:rsidR="002A6EC0" w:rsidRPr="004B40E4" w:rsidRDefault="002A6EC0" w:rsidP="00CD0962">
            <w:pPr>
              <w:spacing w:line="256" w:lineRule="auto"/>
              <w:ind w:left="34"/>
              <w:jc w:val="both"/>
              <w:rPr>
                <w:rStyle w:val="st"/>
                <w:rFonts w:ascii="Arial" w:hAnsi="Arial" w:cs="Arial"/>
                <w:sz w:val="22"/>
                <w:szCs w:val="22"/>
                <w:lang w:val="en-US" w:eastAsia="en-US"/>
              </w:rPr>
            </w:pPr>
            <w:r w:rsidRPr="004B40E4">
              <w:rPr>
                <w:rStyle w:val="st"/>
                <w:rFonts w:ascii="Arial" w:hAnsi="Arial" w:cs="Arial"/>
                <w:sz w:val="22"/>
                <w:szCs w:val="22"/>
                <w:lang w:val="en-US" w:eastAsia="en-US"/>
              </w:rPr>
              <w:t xml:space="preserve">12-13. Transgenic organisms and genetically modified foods. </w:t>
            </w:r>
          </w:p>
          <w:p w:rsidR="002A6EC0" w:rsidRPr="004B40E4" w:rsidRDefault="002A6EC0" w:rsidP="00CD0962">
            <w:pPr>
              <w:spacing w:line="256" w:lineRule="auto"/>
              <w:ind w:left="34"/>
              <w:jc w:val="both"/>
              <w:rPr>
                <w:rFonts w:ascii="Arial" w:eastAsia="Times New Roman" w:hAnsi="Arial" w:cs="Arial"/>
                <w:sz w:val="22"/>
                <w:szCs w:val="22"/>
              </w:rPr>
            </w:pPr>
            <w:r w:rsidRPr="004B40E4">
              <w:rPr>
                <w:rStyle w:val="st"/>
                <w:rFonts w:ascii="Arial" w:hAnsi="Arial" w:cs="Arial"/>
                <w:sz w:val="22"/>
                <w:szCs w:val="22"/>
                <w:lang w:val="en-US" w:eastAsia="en-US"/>
              </w:rPr>
              <w:t>14. The cellular basis of personalized nutrition.</w:t>
            </w:r>
          </w:p>
        </w:tc>
      </w:tr>
      <w:tr w:rsidR="002A6EC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sz w:val="22"/>
                <w:szCs w:val="22"/>
                <w:lang w:val="en-US" w:eastAsia="en-US"/>
              </w:rPr>
            </w:pPr>
            <w:r w:rsidRPr="004B40E4">
              <w:rPr>
                <w:rFonts w:ascii="Arial" w:hAnsi="Arial" w:cs="Arial"/>
                <w:b/>
                <w:sz w:val="22"/>
                <w:szCs w:val="22"/>
                <w:lang w:val="en-US" w:eastAsia="en-US"/>
              </w:rPr>
              <w:t xml:space="preserve">Summary of content - </w:t>
            </w:r>
            <w:r w:rsidRPr="004B40E4">
              <w:rPr>
                <w:rFonts w:ascii="Arial" w:hAnsi="Arial" w:cs="Arial"/>
                <w:b/>
                <w:sz w:val="22"/>
                <w:szCs w:val="22"/>
                <w:u w:val="single"/>
                <w:lang w:val="en-US" w:eastAsia="en-US"/>
              </w:rPr>
              <w:t>practice</w:t>
            </w:r>
            <w:r w:rsidRPr="004B40E4">
              <w:rPr>
                <w:rFonts w:ascii="Arial" w:hAnsi="Arial" w:cs="Arial"/>
                <w:sz w:val="22"/>
                <w:szCs w:val="22"/>
                <w:lang w:val="en-US" w:eastAsia="en-US"/>
              </w:rPr>
              <w:t>:</w:t>
            </w:r>
          </w:p>
          <w:p w:rsidR="002A6EC0" w:rsidRPr="004B40E4" w:rsidRDefault="002A6EC0" w:rsidP="00CD0962">
            <w:pPr>
              <w:spacing w:before="60" w:line="256" w:lineRule="auto"/>
              <w:jc w:val="both"/>
              <w:rPr>
                <w:rFonts w:ascii="Arial" w:eastAsia="Times New Roman" w:hAnsi="Arial" w:cs="Arial"/>
                <w:b/>
                <w:sz w:val="22"/>
                <w:szCs w:val="22"/>
                <w:lang w:eastAsia="en-US"/>
              </w:rPr>
            </w:pPr>
            <w:r w:rsidRPr="004B40E4">
              <w:rPr>
                <w:rFonts w:ascii="Arial" w:hAnsi="Arial" w:cs="Arial"/>
                <w:sz w:val="22"/>
                <w:szCs w:val="22"/>
                <w:lang w:val="en-US" w:eastAsia="en-US"/>
              </w:rPr>
              <w:t>Students will carry out different molecular experiments in order to learn about the basic molecular and bioinformatics investigation methods.</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6EC0" w:rsidRPr="004B40E4" w:rsidRDefault="002A6EC0" w:rsidP="00CD0962">
            <w:pPr>
              <w:spacing w:line="256" w:lineRule="auto"/>
              <w:ind w:left="34"/>
              <w:jc w:val="both"/>
              <w:rPr>
                <w:rFonts w:ascii="Arial" w:eastAsia="Times New Roman" w:hAnsi="Arial" w:cs="Arial"/>
                <w:sz w:val="22"/>
                <w:szCs w:val="22"/>
                <w:lang w:eastAsia="en-US"/>
              </w:rPr>
            </w:pPr>
            <w:proofErr w:type="spellStart"/>
            <w:r w:rsidRPr="004B40E4">
              <w:rPr>
                <w:rFonts w:ascii="Arial" w:hAnsi="Arial" w:cs="Arial"/>
                <w:sz w:val="22"/>
                <w:szCs w:val="22"/>
                <w:lang w:eastAsia="en-US"/>
              </w:rPr>
              <w:t>Skills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w:t>
            </w:r>
            <w:proofErr w:type="spellEnd"/>
            <w:r w:rsidRPr="004B40E4">
              <w:rPr>
                <w:rFonts w:ascii="Arial" w:hAnsi="Arial" w:cs="Arial"/>
                <w:sz w:val="22"/>
                <w:szCs w:val="22"/>
                <w:lang w:eastAsia="en-US"/>
              </w:rPr>
              <w:t xml:space="preserve"> be </w:t>
            </w:r>
            <w:proofErr w:type="spellStart"/>
            <w:r w:rsidRPr="004B40E4">
              <w:rPr>
                <w:rFonts w:ascii="Arial" w:hAnsi="Arial" w:cs="Arial"/>
                <w:sz w:val="22"/>
                <w:szCs w:val="22"/>
                <w:lang w:eastAsia="en-US"/>
              </w:rPr>
              <w:t>learnt</w:t>
            </w:r>
            <w:proofErr w:type="spellEnd"/>
            <w:r w:rsidRPr="004B40E4">
              <w:rPr>
                <w:rFonts w:ascii="Arial" w:hAnsi="Arial" w:cs="Arial"/>
                <w:sz w:val="22"/>
                <w:szCs w:val="22"/>
                <w:lang w:eastAsia="en-US"/>
              </w:rPr>
              <w:t>:</w:t>
            </w:r>
          </w:p>
          <w:p w:rsidR="002A6EC0" w:rsidRPr="004B40E4" w:rsidRDefault="002A6EC0" w:rsidP="00CD0962">
            <w:pPr>
              <w:spacing w:line="256" w:lineRule="auto"/>
              <w:ind w:left="34"/>
              <w:jc w:val="both"/>
              <w:rPr>
                <w:rFonts w:ascii="Arial" w:hAnsi="Arial" w:cs="Arial"/>
                <w:sz w:val="22"/>
                <w:szCs w:val="22"/>
                <w:lang w:eastAsia="en-US"/>
              </w:rPr>
            </w:pPr>
            <w:r w:rsidRPr="004B40E4">
              <w:rPr>
                <w:rFonts w:ascii="Arial" w:hAnsi="Arial" w:cs="Arial"/>
                <w:sz w:val="22"/>
                <w:szCs w:val="22"/>
                <w:lang w:eastAsia="en-US"/>
              </w:rPr>
              <w:t xml:space="preserve">  </w:t>
            </w:r>
          </w:p>
          <w:p w:rsidR="002A6EC0" w:rsidRPr="004B40E4" w:rsidRDefault="002A6EC0" w:rsidP="00CD0962">
            <w:pPr>
              <w:spacing w:line="256" w:lineRule="auto"/>
              <w:ind w:left="34"/>
              <w:jc w:val="both"/>
              <w:rPr>
                <w:rFonts w:ascii="Arial" w:hAnsi="Arial" w:cs="Arial"/>
                <w:sz w:val="22"/>
                <w:szCs w:val="22"/>
                <w:lang w:val="en-US" w:eastAsia="en-US"/>
              </w:rPr>
            </w:pPr>
            <w:r w:rsidRPr="004B40E4">
              <w:rPr>
                <w:rFonts w:ascii="Arial" w:hAnsi="Arial" w:cs="Arial"/>
                <w:sz w:val="22"/>
                <w:szCs w:val="22"/>
                <w:lang w:eastAsia="en-US"/>
              </w:rPr>
              <w:t xml:space="preserve">1-2. </w:t>
            </w:r>
            <w:r w:rsidRPr="004B40E4">
              <w:rPr>
                <w:rFonts w:ascii="Arial" w:hAnsi="Arial" w:cs="Arial"/>
                <w:sz w:val="22"/>
                <w:szCs w:val="22"/>
                <w:lang w:val="en-US" w:eastAsia="en-US"/>
              </w:rPr>
              <w:t>Assessment of cellular toxicity.</w:t>
            </w:r>
          </w:p>
          <w:p w:rsidR="002A6EC0" w:rsidRPr="004B40E4" w:rsidRDefault="002A6EC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eastAsia="en-US"/>
              </w:rPr>
              <w:t>3-4</w:t>
            </w:r>
            <w:r w:rsidRPr="004B40E4">
              <w:rPr>
                <w:rFonts w:ascii="Arial" w:hAnsi="Arial" w:cs="Arial"/>
                <w:sz w:val="22"/>
                <w:szCs w:val="22"/>
                <w:lang w:val="en-GB" w:eastAsia="en-US"/>
              </w:rPr>
              <w:t>. Molecular investigation methods.</w:t>
            </w:r>
          </w:p>
          <w:p w:rsidR="002A6EC0" w:rsidRPr="004B40E4" w:rsidRDefault="002A6EC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5-8. PCR cloning, CRISP/CAS9 genome editing and analysis of transgenic organisms.</w:t>
            </w:r>
          </w:p>
          <w:p w:rsidR="002A6EC0" w:rsidRPr="004B40E4" w:rsidRDefault="002A6EC0"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9-10. Data mining using bioinformatics databases.</w:t>
            </w:r>
          </w:p>
          <w:p w:rsidR="002A6EC0" w:rsidRPr="004B40E4" w:rsidRDefault="002A6EC0" w:rsidP="00CD0962">
            <w:pPr>
              <w:spacing w:line="256" w:lineRule="auto"/>
              <w:ind w:left="34"/>
              <w:jc w:val="both"/>
              <w:rPr>
                <w:rFonts w:ascii="Arial" w:eastAsia="Times New Roman" w:hAnsi="Arial" w:cs="Arial"/>
                <w:sz w:val="22"/>
                <w:szCs w:val="22"/>
                <w:lang w:eastAsia="en-US"/>
              </w:rPr>
            </w:pPr>
            <w:r w:rsidRPr="004B40E4">
              <w:rPr>
                <w:rFonts w:ascii="Arial" w:hAnsi="Arial" w:cs="Arial"/>
                <w:sz w:val="22"/>
                <w:szCs w:val="22"/>
                <w:lang w:eastAsia="en-US"/>
              </w:rPr>
              <w:t xml:space="preserve">11-14. </w:t>
            </w:r>
            <w:r w:rsidRPr="004B40E4">
              <w:rPr>
                <w:rFonts w:ascii="Arial" w:hAnsi="Arial" w:cs="Arial"/>
                <w:sz w:val="22"/>
                <w:szCs w:val="22"/>
                <w:lang w:val="en-GB" w:eastAsia="en-US"/>
              </w:rPr>
              <w:t xml:space="preserve">In silico genome-, proteome- and </w:t>
            </w:r>
            <w:proofErr w:type="spellStart"/>
            <w:r w:rsidRPr="004B40E4">
              <w:rPr>
                <w:rFonts w:ascii="Arial" w:hAnsi="Arial" w:cs="Arial"/>
                <w:sz w:val="22"/>
                <w:szCs w:val="22"/>
                <w:lang w:val="en-GB" w:eastAsia="en-US"/>
              </w:rPr>
              <w:t>interactome</w:t>
            </w:r>
            <w:proofErr w:type="spellEnd"/>
            <w:r w:rsidRPr="004B40E4">
              <w:rPr>
                <w:rFonts w:ascii="Arial" w:hAnsi="Arial" w:cs="Arial"/>
                <w:sz w:val="22"/>
                <w:szCs w:val="22"/>
                <w:lang w:val="en-GB" w:eastAsia="en-US"/>
              </w:rPr>
              <w:t xml:space="preserve"> analysis.</w:t>
            </w:r>
          </w:p>
        </w:tc>
      </w:tr>
      <w:tr w:rsidR="002A6EC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2A6EC0" w:rsidRPr="004B40E4" w:rsidRDefault="002A6EC0" w:rsidP="00CD0962">
            <w:pPr>
              <w:spacing w:line="256" w:lineRule="auto"/>
              <w:ind w:right="-108"/>
              <w:rPr>
                <w:rFonts w:ascii="Arial" w:eastAsia="Times New Roman" w:hAnsi="Arial" w:cs="Arial"/>
                <w:b/>
                <w:sz w:val="22"/>
                <w:szCs w:val="22"/>
                <w:lang w:eastAsia="en-US"/>
              </w:rPr>
            </w:pPr>
            <w:proofErr w:type="spellStart"/>
            <w:r w:rsidRPr="004B40E4">
              <w:rPr>
                <w:rFonts w:ascii="Arial" w:hAnsi="Arial" w:cs="Arial"/>
                <w:b/>
                <w:sz w:val="22"/>
                <w:szCs w:val="22"/>
                <w:lang w:eastAsia="en-US"/>
              </w:rPr>
              <w:t>Literature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handbooks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u w:val="single"/>
                <w:lang w:eastAsia="en-US"/>
              </w:rPr>
              <w:t>in</w:t>
            </w:r>
            <w:proofErr w:type="spellEnd"/>
            <w:r w:rsidRPr="004B40E4">
              <w:rPr>
                <w:rFonts w:ascii="Arial" w:hAnsi="Arial" w:cs="Arial"/>
                <w:b/>
                <w:sz w:val="22"/>
                <w:szCs w:val="22"/>
                <w:u w:val="single"/>
                <w:lang w:eastAsia="en-US"/>
              </w:rPr>
              <w:t xml:space="preserve"> English </w:t>
            </w:r>
          </w:p>
        </w:tc>
      </w:tr>
      <w:tr w:rsidR="002A6EC0"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2A6EC0" w:rsidRPr="004B40E4" w:rsidRDefault="002A6EC0" w:rsidP="002A6EC0">
            <w:pPr>
              <w:pStyle w:val="Listaszerbekezds"/>
              <w:numPr>
                <w:ilvl w:val="0"/>
                <w:numId w:val="23"/>
              </w:numPr>
              <w:autoSpaceDN/>
              <w:spacing w:line="256" w:lineRule="auto"/>
              <w:contextualSpacing/>
              <w:jc w:val="both"/>
              <w:rPr>
                <w:rFonts w:ascii="Arial" w:hAnsi="Arial" w:cs="Arial"/>
                <w:color w:val="000000"/>
                <w:sz w:val="22"/>
                <w:szCs w:val="22"/>
                <w:lang w:val="en-GB" w:eastAsia="en-US"/>
              </w:rPr>
            </w:pPr>
            <w:r w:rsidRPr="004B40E4">
              <w:rPr>
                <w:rFonts w:ascii="Arial" w:hAnsi="Arial" w:cs="Arial"/>
                <w:color w:val="000000"/>
                <w:sz w:val="22"/>
                <w:szCs w:val="22"/>
                <w:lang w:val="en-GB" w:eastAsia="en-US"/>
              </w:rPr>
              <w:t xml:space="preserve">Alberts, B., </w:t>
            </w:r>
            <w:proofErr w:type="spellStart"/>
            <w:r w:rsidRPr="004B40E4">
              <w:rPr>
                <w:rFonts w:ascii="Arial" w:hAnsi="Arial" w:cs="Arial"/>
                <w:color w:val="000000"/>
                <w:sz w:val="22"/>
                <w:szCs w:val="22"/>
                <w:lang w:val="en-GB" w:eastAsia="en-US"/>
              </w:rPr>
              <w:t>Brey</w:t>
            </w:r>
            <w:proofErr w:type="spellEnd"/>
            <w:r w:rsidRPr="004B40E4">
              <w:rPr>
                <w:rFonts w:ascii="Arial" w:hAnsi="Arial" w:cs="Arial"/>
                <w:color w:val="000000"/>
                <w:sz w:val="22"/>
                <w:szCs w:val="22"/>
                <w:lang w:val="en-GB" w:eastAsia="en-US"/>
              </w:rPr>
              <w:t>, D., Hopkin, K., Johnson, A., Lewis, J., Raff, M., Roberts, K., Walter, P. (2016). Essential cell biology. 4th edition. Garland Science, Taylor &amp; Francis Group, New York, USA. ISBN-13: 978-0815344544</w:t>
            </w:r>
          </w:p>
          <w:p w:rsidR="002A6EC0" w:rsidRPr="004B40E4" w:rsidRDefault="002A6EC0" w:rsidP="002A6EC0">
            <w:pPr>
              <w:pStyle w:val="Listaszerbekezds"/>
              <w:numPr>
                <w:ilvl w:val="0"/>
                <w:numId w:val="23"/>
              </w:numPr>
              <w:autoSpaceDN/>
              <w:spacing w:line="256" w:lineRule="auto"/>
              <w:contextualSpacing/>
              <w:jc w:val="both"/>
              <w:rPr>
                <w:rFonts w:ascii="Arial" w:hAnsi="Arial" w:cs="Arial"/>
                <w:color w:val="000000"/>
                <w:sz w:val="22"/>
                <w:szCs w:val="22"/>
                <w:lang w:val="en-GB" w:eastAsia="en-US"/>
              </w:rPr>
            </w:pPr>
            <w:r w:rsidRPr="004B40E4">
              <w:rPr>
                <w:rFonts w:ascii="Arial" w:hAnsi="Arial" w:cs="Arial"/>
                <w:color w:val="000000"/>
                <w:sz w:val="22"/>
                <w:szCs w:val="22"/>
                <w:lang w:val="en-GB" w:eastAsia="en-US"/>
              </w:rPr>
              <w:lastRenderedPageBreak/>
              <w:t>Alberts, B., Johnson, A, Lewis, J. Morgan, D., Raff, M., Roberts, K., Walter, P.  (2014). Molecular Biology of the Cell. Sixth Edition. Garland Science, Taylor &amp; Francis Group, New York. ISBN-13: 978-0815344322</w:t>
            </w:r>
          </w:p>
          <w:p w:rsidR="002A6EC0" w:rsidRPr="004B40E4" w:rsidRDefault="002A6EC0" w:rsidP="002A6EC0">
            <w:pPr>
              <w:pStyle w:val="Listaszerbekezds"/>
              <w:numPr>
                <w:ilvl w:val="0"/>
                <w:numId w:val="23"/>
              </w:numPr>
              <w:autoSpaceDN/>
              <w:spacing w:line="256" w:lineRule="auto"/>
              <w:contextualSpacing/>
              <w:jc w:val="both"/>
              <w:rPr>
                <w:rFonts w:ascii="Arial" w:hAnsi="Arial" w:cs="Arial"/>
                <w:color w:val="000000"/>
                <w:sz w:val="22"/>
                <w:szCs w:val="22"/>
                <w:lang w:val="en-US" w:eastAsia="en-US"/>
              </w:rPr>
            </w:pPr>
            <w:r w:rsidRPr="004B40E4">
              <w:rPr>
                <w:rFonts w:ascii="Arial" w:hAnsi="Arial" w:cs="Arial"/>
                <w:color w:val="000000"/>
                <w:sz w:val="22"/>
                <w:szCs w:val="22"/>
                <w:lang w:val="en-GB" w:eastAsia="en-US"/>
              </w:rPr>
              <w:t xml:space="preserve">Pollard, T.D., Earnshaw, W.C., Lippincott-Schwartz, J. and Johnson, G. (2017). </w:t>
            </w:r>
            <w:r w:rsidRPr="004B40E4">
              <w:rPr>
                <w:rFonts w:ascii="Arial" w:hAnsi="Arial" w:cs="Arial"/>
                <w:color w:val="000000"/>
                <w:sz w:val="22"/>
                <w:szCs w:val="22"/>
                <w:lang w:val="en-US" w:eastAsia="en-US"/>
              </w:rPr>
              <w:t xml:space="preserve">Cell Biology, 3rd Edition, </w:t>
            </w:r>
            <w:proofErr w:type="spellStart"/>
            <w:r w:rsidRPr="004B40E4">
              <w:rPr>
                <w:rFonts w:ascii="Arial" w:hAnsi="Arial" w:cs="Arial"/>
                <w:color w:val="000000"/>
                <w:sz w:val="22"/>
                <w:szCs w:val="22"/>
                <w:lang w:eastAsia="en-US"/>
              </w:rPr>
              <w:t>Elsevier</w:t>
            </w:r>
            <w:proofErr w:type="spellEnd"/>
            <w:r w:rsidRPr="004B40E4">
              <w:rPr>
                <w:rFonts w:ascii="Arial" w:hAnsi="Arial" w:cs="Arial"/>
                <w:color w:val="000000"/>
                <w:sz w:val="22"/>
                <w:szCs w:val="22"/>
                <w:lang w:eastAsia="en-US"/>
              </w:rPr>
              <w:t>, ISBN: 9780323341264</w:t>
            </w:r>
          </w:p>
          <w:p w:rsidR="002A6EC0" w:rsidRPr="004B40E4" w:rsidRDefault="002A6EC0" w:rsidP="002A6EC0">
            <w:pPr>
              <w:pStyle w:val="Listaszerbekezds"/>
              <w:numPr>
                <w:ilvl w:val="0"/>
                <w:numId w:val="23"/>
              </w:numPr>
              <w:autoSpaceDN/>
              <w:spacing w:line="256" w:lineRule="auto"/>
              <w:contextualSpacing/>
              <w:jc w:val="both"/>
              <w:rPr>
                <w:rFonts w:ascii="Arial" w:hAnsi="Arial" w:cs="Arial"/>
                <w:color w:val="000000"/>
                <w:sz w:val="22"/>
                <w:szCs w:val="22"/>
                <w:lang w:val="en-GB" w:eastAsia="en-US"/>
              </w:rPr>
            </w:pPr>
            <w:r w:rsidRPr="004B40E4">
              <w:rPr>
                <w:rFonts w:ascii="Arial" w:hAnsi="Arial" w:cs="Arial"/>
                <w:color w:val="000000"/>
                <w:sz w:val="22"/>
                <w:szCs w:val="22"/>
                <w:lang w:val="en-GB" w:eastAsia="en-US"/>
              </w:rPr>
              <w:t>PUBMED database</w:t>
            </w:r>
          </w:p>
        </w:tc>
      </w:tr>
      <w:tr w:rsidR="002A6EC0"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2A6EC0" w:rsidRPr="004B40E4" w:rsidRDefault="002A6EC0" w:rsidP="00CD0962">
            <w:pPr>
              <w:spacing w:line="256" w:lineRule="auto"/>
              <w:jc w:val="both"/>
              <w:rPr>
                <w:rFonts w:ascii="Arial" w:eastAsia="Times New Roman" w:hAnsi="Arial" w:cs="Arial"/>
                <w:i/>
                <w:iCs/>
                <w:sz w:val="22"/>
                <w:szCs w:val="22"/>
                <w:lang w:eastAsia="en-US"/>
              </w:rPr>
            </w:pPr>
            <w:proofErr w:type="spellStart"/>
            <w:r w:rsidRPr="004B40E4">
              <w:rPr>
                <w:rFonts w:ascii="Arial" w:hAnsi="Arial" w:cs="Arial"/>
                <w:b/>
                <w:sz w:val="22"/>
                <w:szCs w:val="22"/>
                <w:lang w:eastAsia="en-US"/>
              </w:rPr>
              <w:lastRenderedPageBreak/>
              <w:t>Competencies</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gained</w:t>
            </w:r>
            <w:proofErr w:type="spellEnd"/>
            <w:r w:rsidRPr="004B40E4">
              <w:rPr>
                <w:rFonts w:ascii="Arial" w:hAnsi="Arial" w:cs="Arial"/>
                <w:b/>
                <w:sz w:val="22"/>
                <w:szCs w:val="22"/>
                <w:lang w:eastAsia="en-US"/>
              </w:rPr>
              <w:t xml:space="preserve"> </w:t>
            </w:r>
            <w:r w:rsidRPr="004B40E4">
              <w:rPr>
                <w:rFonts w:ascii="Arial" w:hAnsi="Arial" w:cs="Arial"/>
                <w:i/>
                <w:sz w:val="22"/>
                <w:szCs w:val="22"/>
                <w:lang w:eastAsia="en-US"/>
              </w:rPr>
              <w:t>(</w:t>
            </w:r>
            <w:proofErr w:type="spellStart"/>
            <w:r w:rsidRPr="004B40E4">
              <w:rPr>
                <w:rFonts w:ascii="Arial" w:hAnsi="Arial" w:cs="Arial"/>
                <w:i/>
                <w:sz w:val="22"/>
                <w:szCs w:val="22"/>
                <w:lang w:eastAsia="en-US"/>
              </w:rPr>
              <w:t>acc</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to</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the</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Regulation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on</w:t>
            </w:r>
            <w:proofErr w:type="spellEnd"/>
            <w:r w:rsidRPr="004B40E4">
              <w:rPr>
                <w:rFonts w:ascii="Arial" w:hAnsi="Arial" w:cs="Arial"/>
                <w:i/>
                <w:sz w:val="22"/>
                <w:szCs w:val="22"/>
                <w:lang w:eastAsia="en-US"/>
              </w:rPr>
              <w:t xml:space="preserve"> </w:t>
            </w:r>
            <w:proofErr w:type="spellStart"/>
            <w:r w:rsidRPr="004B40E4">
              <w:rPr>
                <w:rFonts w:ascii="Arial" w:hAnsi="Arial" w:cs="Arial"/>
                <w:i/>
                <w:sz w:val="22"/>
                <w:szCs w:val="22"/>
                <w:lang w:eastAsia="en-US"/>
              </w:rPr>
              <w:t>training</w:t>
            </w:r>
            <w:proofErr w:type="spellEnd"/>
            <w:r w:rsidRPr="004B40E4">
              <w:rPr>
                <w:rFonts w:ascii="Arial" w:hAnsi="Arial" w:cs="Arial"/>
                <w:i/>
                <w:sz w:val="22"/>
                <w:szCs w:val="22"/>
                <w:lang w:eastAsia="en-US"/>
              </w:rPr>
              <w:t xml:space="preserve"> and </w:t>
            </w:r>
            <w:proofErr w:type="spellStart"/>
            <w:r w:rsidRPr="004B40E4">
              <w:rPr>
                <w:rFonts w:ascii="Arial" w:hAnsi="Arial" w:cs="Arial"/>
                <w:i/>
                <w:sz w:val="22"/>
                <w:szCs w:val="22"/>
                <w:lang w:eastAsia="en-US"/>
              </w:rPr>
              <w:t>outcome</w:t>
            </w:r>
            <w:proofErr w:type="spellEnd"/>
            <w:r w:rsidRPr="004B40E4">
              <w:rPr>
                <w:rFonts w:ascii="Arial" w:hAnsi="Arial" w:cs="Arial"/>
                <w:i/>
                <w:sz w:val="22"/>
                <w:szCs w:val="22"/>
                <w:lang w:eastAsia="en-US"/>
              </w:rPr>
              <w:t xml:space="preserve"> </w:t>
            </w:r>
            <w:proofErr w:type="spellStart"/>
            <w:r w:rsidRPr="004B40E4">
              <w:rPr>
                <w:rFonts w:ascii="Arial" w:hAnsi="Arial" w:cs="Arial"/>
                <w:i/>
                <w:iCs/>
                <w:sz w:val="22"/>
                <w:szCs w:val="22"/>
                <w:lang w:eastAsia="en-US"/>
              </w:rPr>
              <w:t>requirements</w:t>
            </w:r>
            <w:proofErr w:type="spellEnd"/>
            <w:r w:rsidRPr="004B40E4">
              <w:rPr>
                <w:rFonts w:ascii="Arial" w:hAnsi="Arial" w:cs="Arial"/>
                <w:i/>
                <w:iCs/>
                <w:sz w:val="22"/>
                <w:szCs w:val="22"/>
                <w:lang w:eastAsia="en-US"/>
              </w:rPr>
              <w:t>)</w:t>
            </w:r>
          </w:p>
          <w:p w:rsidR="002A6EC0" w:rsidRPr="004B40E4" w:rsidRDefault="002A6EC0" w:rsidP="00CD0962">
            <w:pPr>
              <w:spacing w:line="256" w:lineRule="auto"/>
              <w:jc w:val="both"/>
              <w:rPr>
                <w:rFonts w:ascii="Arial" w:eastAsia="Times New Roman" w:hAnsi="Arial" w:cs="Arial"/>
                <w:b/>
                <w:color w:val="FF0000"/>
                <w:sz w:val="22"/>
                <w:szCs w:val="22"/>
                <w:lang w:eastAsia="en-US"/>
              </w:rPr>
            </w:pPr>
          </w:p>
        </w:tc>
      </w:tr>
      <w:tr w:rsidR="002A6EC0"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6EC0" w:rsidRPr="004B40E4" w:rsidRDefault="002A6EC0" w:rsidP="002A6EC0">
            <w:pPr>
              <w:widowControl/>
              <w:numPr>
                <w:ilvl w:val="0"/>
                <w:numId w:val="27"/>
              </w:numPr>
              <w:tabs>
                <w:tab w:val="left" w:pos="317"/>
              </w:tabs>
              <w:autoSpaceDN/>
              <w:spacing w:line="256" w:lineRule="auto"/>
              <w:textAlignment w:val="auto"/>
              <w:rPr>
                <w:rFonts w:ascii="Arial" w:eastAsia="Times New Roman" w:hAnsi="Arial" w:cs="Arial"/>
                <w:b/>
                <w:sz w:val="22"/>
                <w:szCs w:val="22"/>
                <w:lang w:val="en-US" w:eastAsia="en-US"/>
              </w:rPr>
            </w:pPr>
            <w:r w:rsidRPr="004B40E4">
              <w:rPr>
                <w:rFonts w:ascii="Arial" w:hAnsi="Arial" w:cs="Arial"/>
                <w:b/>
                <w:sz w:val="22"/>
                <w:szCs w:val="22"/>
                <w:lang w:val="en-US" w:eastAsia="en-US"/>
              </w:rPr>
              <w:t>Knowledge:</w:t>
            </w:r>
          </w:p>
          <w:p w:rsidR="002A6EC0" w:rsidRPr="004B40E4" w:rsidRDefault="002A6EC0" w:rsidP="002A6EC0">
            <w:pPr>
              <w:pStyle w:val="Listaszerbekezds"/>
              <w:numPr>
                <w:ilvl w:val="0"/>
                <w:numId w:val="24"/>
              </w:numPr>
              <w:tabs>
                <w:tab w:val="left" w:pos="317"/>
              </w:tabs>
              <w:suppressAutoHyphens/>
              <w:autoSpaceDN/>
              <w:spacing w:line="256" w:lineRule="auto"/>
              <w:ind w:left="717" w:hanging="270"/>
              <w:contextualSpacing/>
              <w:jc w:val="both"/>
              <w:rPr>
                <w:rFonts w:ascii="Arial" w:hAnsi="Arial" w:cs="Arial"/>
                <w:sz w:val="22"/>
                <w:szCs w:val="22"/>
                <w:lang w:val="en-US" w:eastAsia="en-US"/>
              </w:rPr>
            </w:pPr>
            <w:r w:rsidRPr="004B40E4">
              <w:rPr>
                <w:rFonts w:ascii="Arial" w:hAnsi="Arial" w:cs="Arial"/>
                <w:sz w:val="22"/>
                <w:szCs w:val="22"/>
                <w:lang w:val="en-US" w:eastAsia="en-US"/>
              </w:rPr>
              <w:t>The organization levels of living material, and the system theory based interpretation of vital phenomena.</w:t>
            </w:r>
          </w:p>
          <w:p w:rsidR="002A6EC0" w:rsidRPr="004B40E4" w:rsidRDefault="002A6EC0" w:rsidP="002A6EC0">
            <w:pPr>
              <w:pStyle w:val="Listaszerbekezds"/>
              <w:numPr>
                <w:ilvl w:val="0"/>
                <w:numId w:val="24"/>
              </w:numPr>
              <w:tabs>
                <w:tab w:val="left" w:pos="317"/>
              </w:tabs>
              <w:suppressAutoHyphens/>
              <w:autoSpaceDN/>
              <w:spacing w:line="256" w:lineRule="auto"/>
              <w:ind w:left="717" w:hanging="270"/>
              <w:contextualSpacing/>
              <w:jc w:val="both"/>
              <w:rPr>
                <w:rFonts w:ascii="Arial" w:hAnsi="Arial" w:cs="Arial"/>
                <w:sz w:val="22"/>
                <w:szCs w:val="22"/>
                <w:lang w:val="en-US" w:eastAsia="en-US"/>
              </w:rPr>
            </w:pPr>
            <w:r w:rsidRPr="004B40E4">
              <w:rPr>
                <w:rFonts w:ascii="Arial" w:hAnsi="Arial" w:cs="Arial"/>
                <w:sz w:val="22"/>
                <w:szCs w:val="22"/>
                <w:lang w:val="en-US" w:eastAsia="en-US"/>
              </w:rPr>
              <w:t xml:space="preserve">The pro- and eukaryotic cells structural and functional properties. The nutrition, respiration, metabolism, growth, division and death of cells. </w:t>
            </w:r>
          </w:p>
          <w:p w:rsidR="002A6EC0" w:rsidRPr="004B40E4" w:rsidRDefault="002A6EC0" w:rsidP="002A6EC0">
            <w:pPr>
              <w:pStyle w:val="Listaszerbekezds"/>
              <w:numPr>
                <w:ilvl w:val="0"/>
                <w:numId w:val="24"/>
              </w:numPr>
              <w:tabs>
                <w:tab w:val="left" w:pos="317"/>
              </w:tabs>
              <w:suppressAutoHyphens/>
              <w:autoSpaceDN/>
              <w:spacing w:line="256" w:lineRule="auto"/>
              <w:ind w:left="717" w:hanging="270"/>
              <w:contextualSpacing/>
              <w:jc w:val="both"/>
              <w:rPr>
                <w:rFonts w:ascii="Arial" w:hAnsi="Arial" w:cs="Arial"/>
                <w:sz w:val="22"/>
                <w:szCs w:val="22"/>
                <w:lang w:val="en-US" w:eastAsia="en-US"/>
              </w:rPr>
            </w:pPr>
            <w:r w:rsidRPr="004B40E4">
              <w:rPr>
                <w:rFonts w:ascii="Arial" w:hAnsi="Arial" w:cs="Arial"/>
                <w:sz w:val="22"/>
                <w:szCs w:val="22"/>
                <w:lang w:val="en-US" w:eastAsia="en-US"/>
              </w:rPr>
              <w:t>Multiple correlations between cellular phenomena and nutrition: the reciprocity of genetic and environmental regulation, cell cycle and redox potential regulation, signal transduction and gene expression, cellular homeostasis.</w:t>
            </w:r>
          </w:p>
          <w:p w:rsidR="002A6EC0" w:rsidRPr="004B40E4" w:rsidRDefault="002A6EC0" w:rsidP="002A6EC0">
            <w:pPr>
              <w:widowControl/>
              <w:numPr>
                <w:ilvl w:val="0"/>
                <w:numId w:val="27"/>
              </w:numPr>
              <w:tabs>
                <w:tab w:val="left" w:pos="317"/>
              </w:tabs>
              <w:autoSpaceDN/>
              <w:spacing w:line="256" w:lineRule="auto"/>
              <w:ind w:left="176" w:hanging="142"/>
              <w:textAlignment w:val="auto"/>
              <w:rPr>
                <w:rFonts w:ascii="Arial" w:hAnsi="Arial" w:cs="Arial"/>
                <w:b/>
                <w:sz w:val="22"/>
                <w:szCs w:val="22"/>
                <w:lang w:val="en-US" w:eastAsia="en-US"/>
              </w:rPr>
            </w:pPr>
            <w:r w:rsidRPr="004B40E4">
              <w:rPr>
                <w:rFonts w:ascii="Arial" w:hAnsi="Arial" w:cs="Arial"/>
                <w:b/>
                <w:sz w:val="22"/>
                <w:szCs w:val="22"/>
                <w:lang w:val="en-US" w:eastAsia="en-US"/>
              </w:rPr>
              <w:t>Skills:</w:t>
            </w:r>
          </w:p>
          <w:p w:rsidR="002A6EC0" w:rsidRPr="004B40E4" w:rsidRDefault="002A6EC0" w:rsidP="002A6EC0">
            <w:pPr>
              <w:pStyle w:val="Listaszerbekezds"/>
              <w:numPr>
                <w:ilvl w:val="0"/>
                <w:numId w:val="25"/>
              </w:numPr>
              <w:tabs>
                <w:tab w:val="left" w:pos="317"/>
              </w:tabs>
              <w:suppressAutoHyphens/>
              <w:autoSpaceDN/>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Capable of assessing the molecular aspects of health and nutrition, together with the molecular features of hazards to food chain.</w:t>
            </w:r>
          </w:p>
          <w:p w:rsidR="002A6EC0" w:rsidRPr="004B40E4" w:rsidRDefault="002A6EC0" w:rsidP="002A6EC0">
            <w:pPr>
              <w:pStyle w:val="Listaszerbekezds"/>
              <w:numPr>
                <w:ilvl w:val="0"/>
                <w:numId w:val="25"/>
              </w:numPr>
              <w:tabs>
                <w:tab w:val="left" w:pos="317"/>
              </w:tabs>
              <w:suppressAutoHyphens/>
              <w:autoSpaceDN/>
              <w:spacing w:line="256" w:lineRule="auto"/>
              <w:contextualSpacing/>
              <w:jc w:val="both"/>
              <w:rPr>
                <w:rFonts w:ascii="Arial" w:hAnsi="Arial" w:cs="Arial"/>
                <w:sz w:val="22"/>
                <w:szCs w:val="22"/>
                <w:lang w:val="en-US" w:eastAsia="en-US"/>
              </w:rPr>
            </w:pPr>
            <w:r w:rsidRPr="004B40E4">
              <w:rPr>
                <w:rFonts w:ascii="Arial" w:hAnsi="Arial" w:cs="Arial"/>
                <w:sz w:val="22"/>
                <w:szCs w:val="22"/>
                <w:lang w:val="en-US" w:eastAsia="en-US"/>
              </w:rPr>
              <w:t>Students will acquire the knowledge to work in molecular laboratory using various molecular methods.</w:t>
            </w:r>
          </w:p>
          <w:p w:rsidR="002A6EC0" w:rsidRPr="004B40E4" w:rsidRDefault="002A6EC0" w:rsidP="002A6EC0">
            <w:pPr>
              <w:widowControl/>
              <w:numPr>
                <w:ilvl w:val="0"/>
                <w:numId w:val="27"/>
              </w:numPr>
              <w:tabs>
                <w:tab w:val="left" w:pos="317"/>
              </w:tabs>
              <w:autoSpaceDN/>
              <w:spacing w:line="256" w:lineRule="auto"/>
              <w:ind w:left="176" w:hanging="142"/>
              <w:textAlignment w:val="auto"/>
              <w:rPr>
                <w:rFonts w:ascii="Arial" w:hAnsi="Arial" w:cs="Arial"/>
                <w:b/>
                <w:sz w:val="22"/>
                <w:szCs w:val="22"/>
                <w:lang w:val="en-US" w:eastAsia="en-US"/>
              </w:rPr>
            </w:pPr>
            <w:r w:rsidRPr="004B40E4">
              <w:rPr>
                <w:rFonts w:ascii="Arial" w:hAnsi="Arial" w:cs="Arial"/>
                <w:b/>
                <w:sz w:val="22"/>
                <w:szCs w:val="22"/>
                <w:lang w:val="en-US" w:eastAsia="en-US"/>
              </w:rPr>
              <w:t>Attitude:</w:t>
            </w:r>
          </w:p>
          <w:p w:rsidR="002A6EC0" w:rsidRPr="004B40E4" w:rsidRDefault="002A6EC0" w:rsidP="002A6EC0">
            <w:pPr>
              <w:pStyle w:val="Listaszerbekezds"/>
              <w:numPr>
                <w:ilvl w:val="0"/>
                <w:numId w:val="26"/>
              </w:numPr>
              <w:tabs>
                <w:tab w:val="left" w:pos="317"/>
              </w:tabs>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Students will become aware of the importance of personalized nutrition that is based on specific correlations between the individual characteristics of genomes and the nutritional /energetic statuses, and all together standing at the basis of novel food development strategies</w:t>
            </w:r>
          </w:p>
          <w:p w:rsidR="002A6EC0" w:rsidRPr="004B40E4" w:rsidRDefault="002A6EC0" w:rsidP="002A6EC0">
            <w:pPr>
              <w:pStyle w:val="Listaszerbekezds"/>
              <w:numPr>
                <w:ilvl w:val="0"/>
                <w:numId w:val="26"/>
              </w:numPr>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Committed to food R &amp; D &amp; I activities</w:t>
            </w:r>
          </w:p>
          <w:p w:rsidR="002A6EC0" w:rsidRPr="004B40E4" w:rsidRDefault="002A6EC0" w:rsidP="002A6EC0">
            <w:pPr>
              <w:widowControl/>
              <w:numPr>
                <w:ilvl w:val="0"/>
                <w:numId w:val="27"/>
              </w:numPr>
              <w:tabs>
                <w:tab w:val="left" w:pos="317"/>
              </w:tabs>
              <w:autoSpaceDN/>
              <w:spacing w:line="256" w:lineRule="auto"/>
              <w:ind w:left="176" w:hanging="142"/>
              <w:textAlignment w:val="auto"/>
              <w:rPr>
                <w:rFonts w:ascii="Arial" w:hAnsi="Arial" w:cs="Arial"/>
                <w:b/>
                <w:sz w:val="22"/>
                <w:szCs w:val="22"/>
                <w:lang w:val="en-US" w:eastAsia="en-US"/>
              </w:rPr>
            </w:pPr>
            <w:r w:rsidRPr="004B40E4">
              <w:rPr>
                <w:rFonts w:ascii="Arial" w:hAnsi="Arial" w:cs="Arial"/>
                <w:b/>
                <w:sz w:val="22"/>
                <w:szCs w:val="22"/>
                <w:lang w:val="en-US" w:eastAsia="en-US"/>
              </w:rPr>
              <w:t>Autonomy and responsibility:</w:t>
            </w:r>
          </w:p>
          <w:p w:rsidR="002A6EC0" w:rsidRPr="004B40E4" w:rsidRDefault="002A6EC0" w:rsidP="002A6EC0">
            <w:pPr>
              <w:pStyle w:val="Listaszerbekezds"/>
              <w:numPr>
                <w:ilvl w:val="0"/>
                <w:numId w:val="26"/>
              </w:numPr>
              <w:tabs>
                <w:tab w:val="left" w:pos="317"/>
              </w:tabs>
              <w:suppressAutoHyphens/>
              <w:autoSpaceDN/>
              <w:spacing w:line="256" w:lineRule="auto"/>
              <w:contextualSpacing/>
              <w:rPr>
                <w:rFonts w:ascii="Arial" w:hAnsi="Arial" w:cs="Arial"/>
                <w:sz w:val="22"/>
                <w:szCs w:val="22"/>
                <w:lang w:eastAsia="en-US"/>
              </w:rPr>
            </w:pPr>
            <w:r w:rsidRPr="004B40E4">
              <w:rPr>
                <w:rFonts w:ascii="Arial" w:hAnsi="Arial" w:cs="Arial"/>
                <w:sz w:val="22"/>
                <w:szCs w:val="22"/>
                <w:lang w:val="en-US" w:eastAsia="en-US"/>
              </w:rPr>
              <w:t xml:space="preserve">Committed to food quality/safety and sustainable solutions that support the health of the individuals, the society and </w:t>
            </w:r>
            <w:proofErr w:type="spellStart"/>
            <w:r w:rsidRPr="004B40E4">
              <w:rPr>
                <w:rFonts w:ascii="Arial" w:hAnsi="Arial" w:cs="Arial"/>
                <w:sz w:val="22"/>
                <w:szCs w:val="22"/>
                <w:lang w:val="en-US" w:eastAsia="en-US"/>
              </w:rPr>
              <w:t>bioeconomy</w:t>
            </w:r>
            <w:proofErr w:type="spellEnd"/>
            <w:r w:rsidRPr="004B40E4">
              <w:rPr>
                <w:rFonts w:ascii="Arial" w:hAnsi="Arial" w:cs="Arial"/>
                <w:sz w:val="22"/>
                <w:szCs w:val="22"/>
                <w:lang w:val="en-US" w:eastAsia="en-US"/>
              </w:rPr>
              <w:t>.</w:t>
            </w:r>
          </w:p>
        </w:tc>
      </w:tr>
    </w:tbl>
    <w:p w:rsidR="002A6EC0" w:rsidRPr="004B40E4" w:rsidRDefault="002A6EC0" w:rsidP="002A6EC0">
      <w:pPr>
        <w:rPr>
          <w:rFonts w:ascii="Arial" w:eastAsia="Times New Roman"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6EC0"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Responsible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lecturer</w:t>
            </w:r>
            <w:proofErr w:type="spellEnd"/>
            <w:r w:rsidRPr="004B40E4">
              <w:rPr>
                <w:rFonts w:ascii="Arial" w:hAnsi="Arial" w:cs="Arial"/>
                <w:b/>
                <w:sz w:val="22"/>
                <w:szCs w:val="22"/>
                <w:lang w:eastAsia="en-US"/>
              </w:rPr>
              <w:t>: Dr. Endre Máthé PhD</w:t>
            </w:r>
          </w:p>
        </w:tc>
      </w:tr>
      <w:tr w:rsidR="002A6EC0"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Other</w:t>
            </w:r>
            <w:proofErr w:type="spellEnd"/>
            <w:r w:rsidRPr="004B40E4">
              <w:rPr>
                <w:rFonts w:ascii="Arial" w:hAnsi="Arial" w:cs="Arial"/>
                <w:b/>
                <w:sz w:val="22"/>
                <w:szCs w:val="22"/>
                <w:lang w:eastAsia="en-US"/>
              </w:rPr>
              <w:t xml:space="preserve"> </w:t>
            </w:r>
            <w:proofErr w:type="spellStart"/>
            <w:proofErr w:type="gramStart"/>
            <w:r w:rsidRPr="004B40E4">
              <w:rPr>
                <w:rFonts w:ascii="Arial" w:hAnsi="Arial" w:cs="Arial"/>
                <w:b/>
                <w:sz w:val="22"/>
                <w:szCs w:val="22"/>
                <w:lang w:eastAsia="en-US"/>
              </w:rPr>
              <w:t>lecturer</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s): -</w:t>
            </w:r>
          </w:p>
        </w:tc>
      </w:tr>
    </w:tbl>
    <w:p w:rsidR="002A6EC0" w:rsidRPr="004B40E4" w:rsidRDefault="002A6EC0" w:rsidP="002A6EC0">
      <w:pPr>
        <w:rPr>
          <w:rFonts w:ascii="Arial" w:eastAsia="Times New Roman"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6EC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Terms</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course</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completion</w:t>
            </w:r>
            <w:proofErr w:type="spellEnd"/>
            <w:r w:rsidRPr="004B40E4">
              <w:rPr>
                <w:rFonts w:ascii="Arial" w:hAnsi="Arial" w:cs="Arial"/>
                <w:b/>
                <w:sz w:val="22"/>
                <w:szCs w:val="22"/>
                <w:lang w:eastAsia="en-US"/>
              </w:rPr>
              <w:t>:</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6EC0" w:rsidRPr="004B40E4" w:rsidRDefault="002A6EC0" w:rsidP="00CD0962">
            <w:pPr>
              <w:spacing w:line="256" w:lineRule="auto"/>
              <w:rPr>
                <w:rFonts w:ascii="Arial" w:eastAsia="Times New Roman" w:hAnsi="Arial" w:cs="Arial"/>
                <w:sz w:val="22"/>
                <w:szCs w:val="22"/>
                <w:lang w:val="en-US" w:eastAsia="en-US"/>
              </w:rPr>
            </w:pPr>
            <w:r w:rsidRPr="004B40E4">
              <w:rPr>
                <w:rFonts w:ascii="Arial" w:hAnsi="Arial" w:cs="Arial"/>
                <w:sz w:val="22"/>
                <w:szCs w:val="22"/>
                <w:lang w:val="en-US" w:eastAsia="en-US"/>
              </w:rPr>
              <w:t xml:space="preserve"> 2 essays on given topic</w:t>
            </w:r>
          </w:p>
        </w:tc>
      </w:tr>
      <w:tr w:rsidR="002A6EC0"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Form</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examination</w:t>
            </w:r>
            <w:proofErr w:type="spellEnd"/>
            <w:r w:rsidRPr="004B40E4">
              <w:rPr>
                <w:rFonts w:ascii="Arial" w:hAnsi="Arial" w:cs="Arial"/>
                <w:b/>
                <w:sz w:val="22"/>
                <w:szCs w:val="22"/>
                <w:lang w:eastAsia="en-US"/>
              </w:rPr>
              <w:t>:</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6EC0" w:rsidRPr="004B40E4" w:rsidRDefault="002A6EC0" w:rsidP="00CD0962">
            <w:pPr>
              <w:spacing w:line="256" w:lineRule="auto"/>
              <w:ind w:left="34"/>
              <w:rPr>
                <w:rFonts w:ascii="Arial" w:eastAsia="Times New Roman" w:hAnsi="Arial" w:cs="Arial"/>
                <w:sz w:val="22"/>
                <w:szCs w:val="22"/>
                <w:lang w:eastAsia="en-US"/>
              </w:rPr>
            </w:pPr>
            <w:proofErr w:type="spellStart"/>
            <w:r w:rsidRPr="004B40E4">
              <w:rPr>
                <w:rFonts w:ascii="Arial" w:hAnsi="Arial" w:cs="Arial"/>
                <w:sz w:val="22"/>
                <w:szCs w:val="22"/>
                <w:lang w:eastAsia="en-US"/>
              </w:rPr>
              <w:t>Written</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oral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exam</w:t>
            </w:r>
            <w:proofErr w:type="spellEnd"/>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i/>
                <w:sz w:val="22"/>
                <w:szCs w:val="22"/>
                <w:lang w:eastAsia="en-US"/>
              </w:rPr>
            </w:pPr>
            <w:proofErr w:type="spellStart"/>
            <w:proofErr w:type="gramStart"/>
            <w:r w:rsidRPr="004B40E4">
              <w:rPr>
                <w:rFonts w:ascii="Arial" w:hAnsi="Arial" w:cs="Arial"/>
                <w:b/>
                <w:sz w:val="22"/>
                <w:szCs w:val="22"/>
                <w:lang w:eastAsia="en-US"/>
              </w:rPr>
              <w:t>Requirement</w:t>
            </w:r>
            <w:proofErr w:type="spellEnd"/>
            <w:r w:rsidRPr="004B40E4">
              <w:rPr>
                <w:rFonts w:ascii="Arial" w:hAnsi="Arial" w:cs="Arial"/>
                <w:b/>
                <w:sz w:val="22"/>
                <w:szCs w:val="22"/>
                <w:lang w:eastAsia="en-US"/>
              </w:rPr>
              <w:t>(</w:t>
            </w:r>
            <w:proofErr w:type="gramEnd"/>
            <w:r w:rsidRPr="004B40E4">
              <w:rPr>
                <w:rFonts w:ascii="Arial" w:hAnsi="Arial" w:cs="Arial"/>
                <w:b/>
                <w:sz w:val="22"/>
                <w:szCs w:val="22"/>
                <w:lang w:eastAsia="en-US"/>
              </w:rPr>
              <w:t xml:space="preserve">s) </w:t>
            </w:r>
            <w:proofErr w:type="spellStart"/>
            <w:r w:rsidRPr="004B40E4">
              <w:rPr>
                <w:rFonts w:ascii="Arial" w:hAnsi="Arial" w:cs="Arial"/>
                <w:b/>
                <w:sz w:val="22"/>
                <w:szCs w:val="22"/>
                <w:lang w:eastAsia="en-US"/>
              </w:rPr>
              <w:t>to</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get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signature</w:t>
            </w:r>
            <w:proofErr w:type="spellEnd"/>
            <w:r w:rsidRPr="004B40E4">
              <w:rPr>
                <w:rFonts w:ascii="Arial" w:hAnsi="Arial" w:cs="Arial"/>
                <w:b/>
                <w:sz w:val="22"/>
                <w:szCs w:val="22"/>
                <w:lang w:eastAsia="en-US"/>
              </w:rPr>
              <w:t>:</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2A6EC0" w:rsidRPr="004B40E4" w:rsidRDefault="002A6EC0" w:rsidP="00CD0962">
            <w:pPr>
              <w:tabs>
                <w:tab w:val="left" w:pos="1277"/>
              </w:tabs>
              <w:spacing w:line="256" w:lineRule="auto"/>
              <w:ind w:left="34"/>
              <w:rPr>
                <w:rFonts w:ascii="Arial" w:eastAsia="Times New Roman" w:hAnsi="Arial" w:cs="Arial"/>
                <w:sz w:val="22"/>
                <w:szCs w:val="22"/>
                <w:lang w:val="en-US" w:eastAsia="en-US"/>
              </w:rPr>
            </w:pPr>
            <w:r w:rsidRPr="004B40E4">
              <w:rPr>
                <w:rFonts w:ascii="Arial" w:hAnsi="Arial" w:cs="Arial"/>
                <w:sz w:val="22"/>
                <w:szCs w:val="22"/>
                <w:lang w:val="en-US" w:eastAsia="en-US"/>
              </w:rPr>
              <w:t>Submission of 2 essays</w:t>
            </w:r>
          </w:p>
          <w:p w:rsidR="002A6EC0" w:rsidRPr="004B40E4" w:rsidRDefault="002A6EC0" w:rsidP="00CD0962">
            <w:pPr>
              <w:tabs>
                <w:tab w:val="left" w:pos="1277"/>
              </w:tabs>
              <w:spacing w:line="256" w:lineRule="auto"/>
              <w:ind w:left="34"/>
              <w:rPr>
                <w:rFonts w:ascii="Arial" w:hAnsi="Arial" w:cs="Arial"/>
                <w:sz w:val="22"/>
                <w:szCs w:val="22"/>
                <w:lang w:val="en-US" w:eastAsia="en-US"/>
              </w:rPr>
            </w:pPr>
          </w:p>
          <w:p w:rsidR="002A6EC0" w:rsidRPr="004B40E4" w:rsidRDefault="002A6EC0" w:rsidP="00CD0962">
            <w:pPr>
              <w:tabs>
                <w:tab w:val="left" w:pos="1277"/>
              </w:tabs>
              <w:spacing w:line="256" w:lineRule="auto"/>
              <w:ind w:left="34"/>
              <w:jc w:val="both"/>
              <w:rPr>
                <w:rFonts w:ascii="Arial" w:hAnsi="Arial" w:cs="Arial"/>
                <w:sz w:val="22"/>
                <w:szCs w:val="22"/>
                <w:lang w:val="en-US" w:eastAsia="en-US"/>
              </w:rPr>
            </w:pPr>
            <w:r w:rsidRPr="004B40E4">
              <w:rPr>
                <w:rFonts w:ascii="Arial" w:hAnsi="Arial" w:cs="Arial"/>
                <w:sz w:val="22"/>
                <w:szCs w:val="22"/>
                <w:lang w:val="en-US" w:eastAsia="en-US"/>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w:t>
            </w:r>
            <w:r w:rsidRPr="004B40E4">
              <w:rPr>
                <w:rFonts w:ascii="Arial" w:hAnsi="Arial" w:cs="Arial"/>
                <w:sz w:val="22"/>
                <w:szCs w:val="22"/>
                <w:lang w:val="en-US" w:eastAsia="en-US"/>
              </w:rPr>
              <w:lastRenderedPageBreak/>
              <w:t>Being late is counted as an absence. In case of further absences, a medical certificate needs to be presented. Missed practices should be made up for at a later date, being discussed with the lecturer. Active participation is evaluated by the teacher.</w:t>
            </w:r>
          </w:p>
          <w:p w:rsidR="002A6EC0" w:rsidRPr="004B40E4" w:rsidRDefault="002A6EC0" w:rsidP="00CD0962">
            <w:pPr>
              <w:tabs>
                <w:tab w:val="left" w:pos="1277"/>
              </w:tabs>
              <w:spacing w:line="256" w:lineRule="auto"/>
              <w:ind w:left="34"/>
              <w:jc w:val="both"/>
              <w:rPr>
                <w:rFonts w:ascii="Arial" w:eastAsia="Times New Roman" w:hAnsi="Arial" w:cs="Arial"/>
                <w:sz w:val="22"/>
                <w:szCs w:val="22"/>
                <w:lang w:eastAsia="en-US"/>
              </w:rPr>
            </w:pPr>
          </w:p>
        </w:tc>
      </w:tr>
    </w:tbl>
    <w:p w:rsidR="002A6EC0" w:rsidRPr="004B40E4" w:rsidRDefault="002A6EC0" w:rsidP="002A6EC0">
      <w:pPr>
        <w:rPr>
          <w:rFonts w:ascii="Arial" w:eastAsia="Times New Roman"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A6EC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2A6EC0" w:rsidRPr="004B40E4" w:rsidRDefault="002A6EC0" w:rsidP="00CD0962">
            <w:pPr>
              <w:spacing w:before="60" w:line="256" w:lineRule="auto"/>
              <w:jc w:val="both"/>
              <w:rPr>
                <w:rFonts w:ascii="Arial" w:eastAsia="Times New Roman" w:hAnsi="Arial" w:cs="Arial"/>
                <w:b/>
                <w:sz w:val="22"/>
                <w:szCs w:val="22"/>
                <w:lang w:eastAsia="en-US"/>
              </w:rPr>
            </w:pPr>
            <w:proofErr w:type="spellStart"/>
            <w:r w:rsidRPr="004B40E4">
              <w:rPr>
                <w:rFonts w:ascii="Arial" w:hAnsi="Arial" w:cs="Arial"/>
                <w:b/>
                <w:sz w:val="22"/>
                <w:szCs w:val="22"/>
                <w:lang w:eastAsia="en-US"/>
              </w:rPr>
              <w:t>Exam</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questions</w:t>
            </w:r>
            <w:proofErr w:type="spellEnd"/>
            <w:r w:rsidRPr="004B40E4">
              <w:rPr>
                <w:rFonts w:ascii="Arial" w:hAnsi="Arial" w:cs="Arial"/>
                <w:b/>
                <w:sz w:val="22"/>
                <w:szCs w:val="22"/>
                <w:lang w:eastAsia="en-US"/>
              </w:rPr>
              <w:t>:</w:t>
            </w:r>
          </w:p>
        </w:tc>
      </w:tr>
      <w:tr w:rsidR="002A6EC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is system biology about?</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are the main features of the eukaryotic cell specific material and energy flux and cellular homeostasis?</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What </w:t>
            </w:r>
            <w:proofErr w:type="gramStart"/>
            <w:r w:rsidRPr="004B40E4">
              <w:rPr>
                <w:rFonts w:ascii="Arial" w:hAnsi="Arial" w:cs="Arial"/>
                <w:sz w:val="22"/>
                <w:szCs w:val="22"/>
                <w:lang w:val="en-US" w:eastAsia="en-US"/>
              </w:rPr>
              <w:t>is  gene</w:t>
            </w:r>
            <w:proofErr w:type="gramEnd"/>
            <w:r w:rsidRPr="004B40E4">
              <w:rPr>
                <w:rFonts w:ascii="Arial" w:hAnsi="Arial" w:cs="Arial"/>
                <w:sz w:val="22"/>
                <w:szCs w:val="22"/>
                <w:lang w:val="en-US" w:eastAsia="en-US"/>
              </w:rPr>
              <w:t xml:space="preserve"> expression about?</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is the epigenetic regulation of gene expression about?</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are the features of eukaryotic cells’ metabolism and energetic management?</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What are the features of the cellular redox potential? </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What are the features of the cellular ageing and adaptive stress response?</w:t>
            </w:r>
          </w:p>
          <w:p w:rsidR="002A6EC0" w:rsidRPr="004B40E4" w:rsidRDefault="002A6EC0" w:rsidP="002A6EC0">
            <w:pPr>
              <w:pStyle w:val="Listaszerbekezds"/>
              <w:numPr>
                <w:ilvl w:val="0"/>
                <w:numId w:val="28"/>
              </w:numPr>
              <w:suppressAutoHyphens/>
              <w:autoSpaceDN/>
              <w:spacing w:line="256" w:lineRule="auto"/>
              <w:contextualSpacing/>
              <w:rPr>
                <w:rFonts w:ascii="Arial" w:hAnsi="Arial" w:cs="Arial"/>
                <w:sz w:val="22"/>
                <w:szCs w:val="22"/>
                <w:lang w:eastAsia="en-US"/>
              </w:rPr>
            </w:pPr>
            <w:r w:rsidRPr="004B40E4">
              <w:rPr>
                <w:rFonts w:ascii="Arial" w:hAnsi="Arial" w:cs="Arial"/>
                <w:sz w:val="22"/>
                <w:szCs w:val="22"/>
                <w:lang w:val="en-US" w:eastAsia="en-US"/>
              </w:rPr>
              <w:t>What are the features of the transgenic organisms and genetically modified foods?</w:t>
            </w:r>
          </w:p>
        </w:tc>
      </w:tr>
    </w:tbl>
    <w:p w:rsidR="00F42A96" w:rsidRPr="002A6EC0" w:rsidRDefault="00F42A96" w:rsidP="002A6EC0"/>
    <w:sectPr w:rsidR="00F42A96" w:rsidRPr="002A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6914C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BE53A57"/>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258243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F2C3457"/>
    <w:multiLevelType w:val="hybridMultilevel"/>
    <w:tmpl w:val="1C205C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F8B74D1"/>
    <w:multiLevelType w:val="hybridMultilevel"/>
    <w:tmpl w:val="77C07BF6"/>
    <w:lvl w:ilvl="0" w:tplc="040E0017">
      <w:start w:val="1"/>
      <w:numFmt w:val="lowerLetter"/>
      <w:lvlText w:val="%1)"/>
      <w:lvlJc w:val="left"/>
      <w:pPr>
        <w:ind w:left="394" w:hanging="360"/>
      </w:pPr>
      <w:rPr>
        <w:rFonts w:hint="default"/>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42B72A2C"/>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6"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17"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41709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72F73BE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764F75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790D35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9"/>
  </w:num>
  <w:num w:numId="2">
    <w:abstractNumId w:val="15"/>
  </w:num>
  <w:num w:numId="3">
    <w:abstractNumId w:val="0"/>
  </w:num>
  <w:num w:numId="4">
    <w:abstractNumId w:val="18"/>
  </w:num>
  <w:num w:numId="5">
    <w:abstractNumId w:val="23"/>
  </w:num>
  <w:num w:numId="6">
    <w:abstractNumId w:val="9"/>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1"/>
  </w:num>
  <w:num w:numId="20">
    <w:abstractNumId w:val="20"/>
  </w:num>
  <w:num w:numId="21">
    <w:abstractNumId w:val="22"/>
  </w:num>
  <w:num w:numId="22">
    <w:abstractNumId w:val="4"/>
  </w:num>
  <w:num w:numId="23">
    <w:abstractNumId w:val="7"/>
  </w:num>
  <w:num w:numId="24">
    <w:abstractNumId w:val="16"/>
  </w:num>
  <w:num w:numId="25">
    <w:abstractNumId w:val="2"/>
  </w:num>
  <w:num w:numId="26">
    <w:abstractNumId w:val="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2A6EC0"/>
    <w:rsid w:val="005D5B8C"/>
    <w:rsid w:val="00D77BED"/>
    <w:rsid w:val="00D919D0"/>
    <w:rsid w:val="00F42A96"/>
    <w:rsid w:val="00F46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4564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2019-08-28T12:07:00Z</dcterms:created>
  <dcterms:modified xsi:type="dcterms:W3CDTF">2019-08-28T12:07:00Z</dcterms:modified>
</cp:coreProperties>
</file>