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2875"/>
      </w:tblGrid>
      <w:tr w:rsidR="003777F0" w:rsidRPr="00782B03" w:rsidTr="00CD0962">
        <w:tc>
          <w:tcPr>
            <w:tcW w:w="60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Title and Code</w:t>
            </w:r>
            <w:r w:rsidRPr="00782B03">
              <w:rPr>
                <w:rFonts w:ascii="Arial" w:hAnsi="Arial" w:cs="Arial"/>
                <w:lang w:val="en-US"/>
              </w:rPr>
              <w:t xml:space="preserve"> of the subject:</w:t>
            </w:r>
          </w:p>
          <w:p w:rsidR="003777F0" w:rsidRPr="00782B03" w:rsidRDefault="003777F0" w:rsidP="00CD0962">
            <w:pPr>
              <w:suppressAutoHyphens/>
              <w:spacing w:before="120" w:after="120" w:line="256" w:lineRule="auto"/>
              <w:jc w:val="both"/>
              <w:rPr>
                <w:rFonts w:ascii="Arial" w:eastAsia="Times New Roman" w:hAnsi="Arial" w:cs="Arial"/>
                <w:b/>
                <w:i/>
                <w:lang w:val="en-US"/>
              </w:rPr>
            </w:pPr>
            <w:bookmarkStart w:id="0" w:name="_GoBack"/>
            <w:r w:rsidRPr="00782B03">
              <w:rPr>
                <w:rFonts w:ascii="Arial" w:hAnsi="Arial" w:cs="Arial"/>
                <w:b/>
                <w:lang w:val="en-US"/>
              </w:rPr>
              <w:t>Basic principles of food mechanics,  MTBE7011A</w:t>
            </w:r>
            <w:bookmarkEnd w:id="0"/>
          </w:p>
        </w:tc>
        <w:tc>
          <w:tcPr>
            <w:tcW w:w="29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ECTS Credit Points: 4</w:t>
            </w:r>
          </w:p>
        </w:tc>
      </w:tr>
      <w:tr w:rsidR="003777F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compulsory</w:t>
            </w:r>
          </w:p>
        </w:tc>
      </w:tr>
      <w:tr w:rsidR="003777F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3777F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Number of teaching hours / week</w:t>
            </w:r>
            <w:r w:rsidRPr="00782B03">
              <w:rPr>
                <w:rFonts w:ascii="Arial" w:hAnsi="Arial" w:cs="Arial"/>
                <w:lang w:val="en-US"/>
              </w:rPr>
              <w:t>: 2+2 (lecture and practice)</w:t>
            </w:r>
          </w:p>
        </w:tc>
      </w:tr>
      <w:tr w:rsidR="003777F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practical course mark / exam </w:t>
            </w:r>
          </w:p>
        </w:tc>
      </w:tr>
      <w:tr w:rsidR="003777F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3rd semester</w:t>
            </w:r>
          </w:p>
        </w:tc>
      </w:tr>
      <w:tr w:rsidR="003777F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3777F0" w:rsidRPr="00782B03" w:rsidRDefault="003777F0" w:rsidP="003777F0">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777F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b/>
                <w:lang w:val="en-US"/>
              </w:rPr>
              <w:t xml:space="preserve"> (lectures)</w:t>
            </w:r>
            <w:r w:rsidRPr="00782B03">
              <w:rPr>
                <w:rFonts w:ascii="Arial" w:hAnsi="Arial" w:cs="Arial"/>
                <w:lang w:val="en-US"/>
              </w:rPr>
              <w:t xml:space="preserve">: </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pacing w:line="256" w:lineRule="auto"/>
              <w:jc w:val="both"/>
              <w:rPr>
                <w:rFonts w:ascii="Arial" w:eastAsia="Times New Roman" w:hAnsi="Arial" w:cs="Arial"/>
                <w:lang w:val="en-US"/>
              </w:rPr>
            </w:pPr>
            <w:r w:rsidRPr="00782B03">
              <w:rPr>
                <w:rFonts w:ascii="Arial" w:hAnsi="Arial" w:cs="Arial"/>
                <w:b/>
                <w:lang w:val="en-US"/>
              </w:rPr>
              <w:t>The objective of the subject:</w:t>
            </w:r>
            <w:r w:rsidRPr="00782B03">
              <w:rPr>
                <w:rFonts w:ascii="Arial" w:hAnsi="Arial" w:cs="Arial"/>
                <w:lang w:val="en-US"/>
              </w:rPr>
              <w:t xml:space="preserve"> to become familiar with the most important technological operations applied in the scope of food industry, their theoretical connections and the machinery </w:t>
            </w:r>
            <w:proofErr w:type="spellStart"/>
            <w:r w:rsidRPr="00782B03">
              <w:rPr>
                <w:rFonts w:ascii="Arial" w:hAnsi="Arial" w:cs="Arial"/>
                <w:lang w:val="en-US"/>
              </w:rPr>
              <w:t>utilised</w:t>
            </w:r>
            <w:proofErr w:type="spellEnd"/>
            <w:r w:rsidRPr="00782B03">
              <w:rPr>
                <w:rFonts w:ascii="Arial" w:hAnsi="Arial" w:cs="Arial"/>
                <w:lang w:val="en-US"/>
              </w:rPr>
              <w:t xml:space="preserve"> in practice. </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 xml:space="preserve">The student will become up-to-date with the task, field of </w:t>
            </w:r>
            <w:proofErr w:type="spellStart"/>
            <w:r w:rsidRPr="00782B03">
              <w:rPr>
                <w:rFonts w:ascii="Arial" w:hAnsi="Arial" w:cs="Arial"/>
                <w:lang w:val="en-US"/>
              </w:rPr>
              <w:t>utilisation</w:t>
            </w:r>
            <w:proofErr w:type="spellEnd"/>
            <w:r w:rsidRPr="00782B03">
              <w:rPr>
                <w:rFonts w:ascii="Arial" w:hAnsi="Arial" w:cs="Arial"/>
                <w:lang w:val="en-US"/>
              </w:rPr>
              <w:t xml:space="preserve"> and conditions of the given item of machinery. Graduated experts will be able to select the most appropriate devices for each task. Also, graduated students will become capable of operating the machinery and devices.</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 xml:space="preserve">Besides, the students will be able to participate in the repairing processes in case the machinery is malfunctioning. The objective is to train experts who are responsive to the reception of knowledge required for the operation of food industry equipment, devices and in possession of such knowledge they are able to participate in the planning process of food-related raw material production, processing and management. The graduated students are able to participate in the </w:t>
            </w:r>
            <w:proofErr w:type="spellStart"/>
            <w:r w:rsidRPr="00782B03">
              <w:rPr>
                <w:rFonts w:ascii="Arial" w:hAnsi="Arial" w:cs="Arial"/>
                <w:lang w:val="en-US"/>
              </w:rPr>
              <w:t>organisation</w:t>
            </w:r>
            <w:proofErr w:type="spellEnd"/>
            <w:r w:rsidRPr="00782B03">
              <w:rPr>
                <w:rFonts w:ascii="Arial" w:hAnsi="Arial" w:cs="Arial"/>
                <w:lang w:val="en-US"/>
              </w:rPr>
              <w:t xml:space="preserve"> and control of the activities in the scope of the daily practice.</w:t>
            </w:r>
          </w:p>
          <w:p w:rsidR="003777F0" w:rsidRPr="00782B03" w:rsidRDefault="003777F0" w:rsidP="00CD0962">
            <w:pPr>
              <w:suppressAutoHyphens/>
              <w:spacing w:before="120"/>
              <w:jc w:val="both"/>
              <w:rPr>
                <w:rFonts w:ascii="Arial" w:hAnsi="Arial" w:cs="Arial"/>
                <w:b/>
                <w:lang w:val="en-US"/>
              </w:rPr>
            </w:pPr>
            <w:r w:rsidRPr="00782B03">
              <w:rPr>
                <w:rFonts w:ascii="Arial" w:hAnsi="Arial" w:cs="Arial"/>
                <w:b/>
                <w:lang w:val="en-US"/>
              </w:rPr>
              <w:t>Schedule:</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1: Machines of transportation and conveyance I: Gravitational and mechanic conveyance</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2: Machines of transportation and conveyance II: conveyance in air flow</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3: Devices of chopping, cutting, grinding I.: Refiners, mills, grinders, vegetable slicers, shredders</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4: Devices of chopping, cutting, grinding II.: Meat mincer, bacon dicer, bowl cutter</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 xml:space="preserve">Week 5: Technology of meat processing, slaughterhouse, </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 xml:space="preserve">Week 6: Devices of classification and sorting I. Vegetable and fruit classification devices, sieve, screen </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 xml:space="preserve">Week 7: Devices of classification and sorting II.  Magnetic sorting, separator, air classifiers, hydro cyclone </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8: Technology of separation processes I: Settling, Filtering</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9: Technology of separation processes II: Centrifugation</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 xml:space="preserve">Week 10: Mixer devices, agitators, </w:t>
            </w:r>
            <w:proofErr w:type="spellStart"/>
            <w:r w:rsidRPr="00782B03">
              <w:rPr>
                <w:rFonts w:ascii="Arial" w:hAnsi="Arial" w:cs="Arial"/>
                <w:lang w:val="en-US"/>
              </w:rPr>
              <w:t>homogenisation</w:t>
            </w:r>
            <w:proofErr w:type="spellEnd"/>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11: Technology of pressing, squeezing</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12: Refrigerators, refrigerating devices</w:t>
            </w:r>
          </w:p>
          <w:p w:rsidR="003777F0" w:rsidRPr="00782B03" w:rsidRDefault="003777F0" w:rsidP="00CD0962">
            <w:pPr>
              <w:spacing w:line="256" w:lineRule="auto"/>
              <w:jc w:val="both"/>
              <w:rPr>
                <w:rFonts w:ascii="Arial" w:hAnsi="Arial" w:cs="Arial"/>
                <w:lang w:val="en-US"/>
              </w:rPr>
            </w:pPr>
            <w:r w:rsidRPr="00782B03">
              <w:rPr>
                <w:rFonts w:ascii="Arial" w:hAnsi="Arial" w:cs="Arial"/>
                <w:lang w:val="en-US"/>
              </w:rPr>
              <w:t>Week 13: Evaporation devices</w:t>
            </w:r>
          </w:p>
          <w:p w:rsidR="003777F0" w:rsidRPr="00782B03" w:rsidRDefault="003777F0" w:rsidP="00CD0962">
            <w:pPr>
              <w:spacing w:line="256" w:lineRule="auto"/>
              <w:jc w:val="both"/>
              <w:rPr>
                <w:rFonts w:ascii="Arial" w:eastAsia="Times New Roman" w:hAnsi="Arial" w:cs="Arial"/>
                <w:lang w:val="en-US"/>
              </w:rPr>
            </w:pPr>
            <w:r w:rsidRPr="00782B03">
              <w:rPr>
                <w:rFonts w:ascii="Arial" w:hAnsi="Arial" w:cs="Arial"/>
                <w:lang w:val="en-US"/>
              </w:rPr>
              <w:t>Week 14: Devices of washing</w:t>
            </w:r>
          </w:p>
        </w:tc>
      </w:tr>
      <w:tr w:rsidR="003777F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 xml:space="preserve">practice </w:t>
            </w:r>
            <w:r w:rsidRPr="00782B03">
              <w:rPr>
                <w:rFonts w:ascii="Arial" w:hAnsi="Arial" w:cs="Arial"/>
                <w:b/>
                <w:lang w:val="en-US"/>
              </w:rPr>
              <w:t>(seminars)</w:t>
            </w:r>
            <w:r w:rsidRPr="00782B03">
              <w:rPr>
                <w:rFonts w:ascii="Arial" w:hAnsi="Arial" w:cs="Arial"/>
                <w:lang w:val="en-US"/>
              </w:rPr>
              <w:t>:</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777F0" w:rsidRPr="00782B03" w:rsidRDefault="003777F0" w:rsidP="00CD0962">
            <w:pPr>
              <w:suppressAutoHyphens/>
              <w:spacing w:line="256" w:lineRule="auto"/>
              <w:ind w:left="34"/>
              <w:jc w:val="both"/>
              <w:rPr>
                <w:rFonts w:ascii="Arial" w:hAnsi="Arial" w:cs="Arial"/>
                <w:lang w:val="en-US"/>
              </w:rPr>
            </w:pPr>
            <w:r w:rsidRPr="00782B03">
              <w:rPr>
                <w:rFonts w:ascii="Arial" w:hAnsi="Arial" w:cs="Arial"/>
                <w:b/>
                <w:lang w:val="en-US"/>
              </w:rPr>
              <w:t>Practice lessons focuses on 3 main activities:</w:t>
            </w:r>
            <w:r w:rsidRPr="00782B03">
              <w:rPr>
                <w:rFonts w:ascii="Arial" w:hAnsi="Arial" w:cs="Arial"/>
                <w:lang w:val="en-US"/>
              </w:rPr>
              <w:t xml:space="preserve">  </w:t>
            </w:r>
          </w:p>
          <w:p w:rsidR="003777F0" w:rsidRPr="00782B03" w:rsidRDefault="003777F0" w:rsidP="003777F0">
            <w:pPr>
              <w:pStyle w:val="Listaszerbekezds"/>
              <w:numPr>
                <w:ilvl w:val="0"/>
                <w:numId w:val="1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Extending the knowledge of the theory lessons by practical explanation, calculations and related multimedia material</w:t>
            </w:r>
          </w:p>
          <w:p w:rsidR="003777F0" w:rsidRPr="00782B03" w:rsidRDefault="003777F0" w:rsidP="003777F0">
            <w:pPr>
              <w:pStyle w:val="Listaszerbekezds"/>
              <w:numPr>
                <w:ilvl w:val="0"/>
                <w:numId w:val="1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Help students to prepare for the course assignment and the final presentation</w:t>
            </w:r>
          </w:p>
          <w:p w:rsidR="003777F0" w:rsidRPr="00782B03" w:rsidRDefault="003777F0" w:rsidP="003777F0">
            <w:pPr>
              <w:pStyle w:val="Listaszerbekezds"/>
              <w:numPr>
                <w:ilvl w:val="0"/>
                <w:numId w:val="1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Factory visits to food companies to observe the related machinery in operation</w:t>
            </w:r>
          </w:p>
          <w:p w:rsidR="003777F0" w:rsidRPr="00782B03" w:rsidRDefault="003777F0" w:rsidP="00CD0962">
            <w:pPr>
              <w:jc w:val="both"/>
              <w:rPr>
                <w:rFonts w:ascii="Arial" w:eastAsia="Times New Roman" w:hAnsi="Arial" w:cs="Arial"/>
                <w:lang w:val="en-US"/>
              </w:rPr>
            </w:pPr>
            <w:r w:rsidRPr="00782B03">
              <w:rPr>
                <w:rFonts w:ascii="Arial" w:hAnsi="Arial" w:cs="Arial"/>
                <w:lang w:val="en-US"/>
              </w:rPr>
              <w:t>The last practice lesson is for the students’ presentation and the evaluation of the assignment.</w:t>
            </w:r>
          </w:p>
        </w:tc>
      </w:tr>
      <w:tr w:rsidR="003777F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777F0" w:rsidRPr="00782B03" w:rsidRDefault="003777F0"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3777F0"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3777F0" w:rsidRPr="00782B03" w:rsidRDefault="003777F0"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1. Smith, P. G.: Introduction to Food Process Engineering. Springer </w:t>
            </w:r>
            <w:proofErr w:type="spellStart"/>
            <w:r w:rsidRPr="00782B03">
              <w:rPr>
                <w:rFonts w:ascii="Arial" w:hAnsi="Arial" w:cs="Arial"/>
                <w:lang w:val="en-US"/>
              </w:rPr>
              <w:t>Science+Business</w:t>
            </w:r>
            <w:proofErr w:type="spellEnd"/>
            <w:r w:rsidRPr="00782B03">
              <w:rPr>
                <w:rFonts w:ascii="Arial" w:hAnsi="Arial" w:cs="Arial"/>
                <w:lang w:val="en-US"/>
              </w:rPr>
              <w:t xml:space="preserve"> Media. 2011. ISBN: 978 1 4419 7661 1</w:t>
            </w:r>
          </w:p>
          <w:p w:rsidR="003777F0" w:rsidRPr="00782B03" w:rsidRDefault="003777F0" w:rsidP="00CD0962">
            <w:pPr>
              <w:suppressAutoHyphens/>
              <w:spacing w:line="256" w:lineRule="auto"/>
              <w:ind w:left="34"/>
              <w:jc w:val="both"/>
              <w:rPr>
                <w:rFonts w:ascii="Arial" w:hAnsi="Arial" w:cs="Arial"/>
                <w:lang w:val="en-US"/>
              </w:rPr>
            </w:pPr>
            <w:r w:rsidRPr="00782B03">
              <w:rPr>
                <w:rFonts w:ascii="Arial" w:hAnsi="Arial" w:cs="Arial"/>
                <w:lang w:val="en-US"/>
              </w:rPr>
              <w:t>2. Serna-Saldivar, Sergio O.: Cereal Grains. Properties, Processing, and Nutritional Attributes. Taylor and Francis Group, LLC. 2010. ISBN: 978 1 4398 1560 1</w:t>
            </w:r>
          </w:p>
          <w:p w:rsidR="003777F0" w:rsidRPr="00782B03" w:rsidRDefault="003777F0" w:rsidP="00CD0962">
            <w:pPr>
              <w:suppressAutoHyphens/>
              <w:spacing w:line="256" w:lineRule="auto"/>
              <w:ind w:left="34"/>
              <w:jc w:val="both"/>
              <w:rPr>
                <w:rFonts w:ascii="Arial" w:hAnsi="Arial" w:cs="Arial"/>
                <w:lang w:val="en-US"/>
              </w:rPr>
            </w:pPr>
            <w:r w:rsidRPr="00782B03">
              <w:rPr>
                <w:rFonts w:ascii="Arial" w:hAnsi="Arial" w:cs="Arial"/>
                <w:lang w:val="en-US"/>
              </w:rPr>
              <w:t>3. Hui, Y. H. – Ghazala, Sue – Graham, Dee M. – Murrell, K. D. – Nip, Wai-Kit: Handbook of Vegetable Preservation and Processing. Taylor and Francis Group. 2003. ISBN: 9780824743017</w:t>
            </w:r>
          </w:p>
          <w:p w:rsidR="003777F0" w:rsidRPr="00782B03" w:rsidRDefault="003777F0"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4. Sinha, </w:t>
            </w:r>
            <w:proofErr w:type="spellStart"/>
            <w:r w:rsidRPr="00782B03">
              <w:rPr>
                <w:rFonts w:ascii="Arial" w:hAnsi="Arial" w:cs="Arial"/>
                <w:lang w:val="en-US"/>
              </w:rPr>
              <w:t>Nirmal</w:t>
            </w:r>
            <w:proofErr w:type="spellEnd"/>
            <w:r w:rsidRPr="00782B03">
              <w:rPr>
                <w:rFonts w:ascii="Arial" w:hAnsi="Arial" w:cs="Arial"/>
                <w:lang w:val="en-US"/>
              </w:rPr>
              <w:t xml:space="preserve"> K. – Sidhu, </w:t>
            </w:r>
            <w:proofErr w:type="spellStart"/>
            <w:r w:rsidRPr="00782B03">
              <w:rPr>
                <w:rFonts w:ascii="Arial" w:hAnsi="Arial" w:cs="Arial"/>
                <w:lang w:val="en-US"/>
              </w:rPr>
              <w:t>Jiwan</w:t>
            </w:r>
            <w:proofErr w:type="spellEnd"/>
            <w:r w:rsidRPr="00782B03">
              <w:rPr>
                <w:rFonts w:ascii="Arial" w:hAnsi="Arial" w:cs="Arial"/>
                <w:lang w:val="en-US"/>
              </w:rPr>
              <w:t xml:space="preserve"> S. - </w:t>
            </w:r>
            <w:proofErr w:type="spellStart"/>
            <w:r w:rsidRPr="00782B03">
              <w:rPr>
                <w:rFonts w:ascii="Arial" w:hAnsi="Arial" w:cs="Arial"/>
                <w:lang w:val="en-US"/>
              </w:rPr>
              <w:t>Barta</w:t>
            </w:r>
            <w:proofErr w:type="spellEnd"/>
            <w:r w:rsidRPr="00782B03">
              <w:rPr>
                <w:rFonts w:ascii="Arial" w:hAnsi="Arial" w:cs="Arial"/>
                <w:lang w:val="en-US"/>
              </w:rPr>
              <w:t>, J. - Wu, James S. B. - Cano, Pilar M.: Handbook of Fruits and Fruit Processing. Wiley-Blackwell. 2012. ISBN: 978-0-8138-0894-9</w:t>
            </w:r>
          </w:p>
        </w:tc>
      </w:tr>
      <w:tr w:rsidR="003777F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3777F0" w:rsidRPr="00782B03" w:rsidRDefault="003777F0"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3777F0"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777F0" w:rsidRPr="00782B03" w:rsidRDefault="003777F0" w:rsidP="003777F0">
            <w:pPr>
              <w:numPr>
                <w:ilvl w:val="0"/>
                <w:numId w:val="25"/>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3777F0" w:rsidRPr="00782B03" w:rsidRDefault="003777F0" w:rsidP="003777F0">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xx</w:t>
            </w:r>
          </w:p>
          <w:p w:rsidR="003777F0" w:rsidRPr="00782B03" w:rsidRDefault="003777F0" w:rsidP="003777F0">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xx</w:t>
            </w:r>
          </w:p>
          <w:p w:rsidR="003777F0" w:rsidRPr="00782B03" w:rsidRDefault="003777F0" w:rsidP="003777F0">
            <w:pPr>
              <w:numPr>
                <w:ilvl w:val="0"/>
                <w:numId w:val="25"/>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Skills:</w:t>
            </w:r>
          </w:p>
          <w:p w:rsidR="003777F0" w:rsidRPr="00782B03" w:rsidRDefault="003777F0" w:rsidP="003777F0">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xx</w:t>
            </w:r>
          </w:p>
          <w:p w:rsidR="003777F0" w:rsidRPr="00782B03" w:rsidRDefault="003777F0" w:rsidP="003777F0">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xx</w:t>
            </w:r>
          </w:p>
          <w:p w:rsidR="003777F0" w:rsidRPr="00782B03" w:rsidRDefault="003777F0" w:rsidP="003777F0">
            <w:pPr>
              <w:numPr>
                <w:ilvl w:val="0"/>
                <w:numId w:val="25"/>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Attitude:</w:t>
            </w:r>
          </w:p>
          <w:p w:rsidR="003777F0" w:rsidRPr="00782B03" w:rsidRDefault="003777F0" w:rsidP="003777F0">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xx</w:t>
            </w:r>
          </w:p>
          <w:p w:rsidR="003777F0" w:rsidRPr="00782B03" w:rsidRDefault="003777F0" w:rsidP="003777F0">
            <w:pPr>
              <w:numPr>
                <w:ilvl w:val="0"/>
                <w:numId w:val="25"/>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Autonomy and responsibility:</w:t>
            </w:r>
          </w:p>
          <w:p w:rsidR="003777F0" w:rsidRPr="00782B03" w:rsidRDefault="003777F0" w:rsidP="003777F0">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xx</w:t>
            </w:r>
          </w:p>
        </w:tc>
      </w:tr>
    </w:tbl>
    <w:p w:rsidR="003777F0" w:rsidRPr="00782B03" w:rsidRDefault="003777F0" w:rsidP="003777F0">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777F0" w:rsidRPr="00782B03" w:rsidTr="00CD0962">
        <w:trPr>
          <w:trHeight w:val="338"/>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habil</w:t>
            </w:r>
            <w:proofErr w:type="spellEnd"/>
            <w:r w:rsidRPr="00782B03">
              <w:rPr>
                <w:rFonts w:ascii="Arial" w:hAnsi="Arial" w:cs="Arial"/>
                <w:b/>
                <w:lang w:val="en-US"/>
              </w:rPr>
              <w:t xml:space="preserve"> </w:t>
            </w:r>
            <w:proofErr w:type="spellStart"/>
            <w:r w:rsidRPr="00782B03">
              <w:rPr>
                <w:rFonts w:ascii="Arial" w:hAnsi="Arial" w:cs="Arial"/>
                <w:b/>
                <w:lang w:val="en-US"/>
              </w:rPr>
              <w:t>Endre</w:t>
            </w:r>
            <w:proofErr w:type="spellEnd"/>
            <w:r w:rsidRPr="00782B03">
              <w:rPr>
                <w:rFonts w:ascii="Arial" w:hAnsi="Arial" w:cs="Arial"/>
                <w:b/>
                <w:lang w:val="en-US"/>
              </w:rPr>
              <w:t xml:space="preserve"> </w:t>
            </w:r>
            <w:proofErr w:type="spellStart"/>
            <w:r w:rsidRPr="00782B03">
              <w:rPr>
                <w:rFonts w:ascii="Arial" w:hAnsi="Arial" w:cs="Arial"/>
                <w:b/>
                <w:lang w:val="en-US"/>
              </w:rPr>
              <w:t>Harsányi</w:t>
            </w:r>
            <w:proofErr w:type="spellEnd"/>
            <w:r w:rsidRPr="00782B03">
              <w:rPr>
                <w:rFonts w:ascii="Arial" w:hAnsi="Arial" w:cs="Arial"/>
                <w:b/>
                <w:lang w:val="en-US"/>
              </w:rPr>
              <w:t xml:space="preserve">, </w:t>
            </w:r>
            <w:proofErr w:type="spellStart"/>
            <w:r w:rsidRPr="00782B03">
              <w:rPr>
                <w:rFonts w:ascii="Arial" w:hAnsi="Arial" w:cs="Arial"/>
                <w:b/>
                <w:lang w:val="en-US"/>
              </w:rPr>
              <w:t>Ph.D</w:t>
            </w:r>
            <w:proofErr w:type="spellEnd"/>
            <w:r w:rsidRPr="00782B03">
              <w:rPr>
                <w:rFonts w:ascii="Arial" w:hAnsi="Arial" w:cs="Arial"/>
                <w:b/>
                <w:lang w:val="en-US"/>
              </w:rPr>
              <w:t>, associate professor</w:t>
            </w:r>
          </w:p>
        </w:tc>
      </w:tr>
      <w:tr w:rsidR="003777F0" w:rsidRPr="00782B03" w:rsidTr="00CD0962">
        <w:trPr>
          <w:trHeight w:val="337"/>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Other lecturer(s): Dr. </w:t>
            </w:r>
            <w:proofErr w:type="spellStart"/>
            <w:r w:rsidRPr="00782B03">
              <w:rPr>
                <w:rFonts w:ascii="Arial" w:hAnsi="Arial" w:cs="Arial"/>
                <w:b/>
                <w:lang w:val="en-US"/>
              </w:rPr>
              <w:t>Nándor</w:t>
            </w:r>
            <w:proofErr w:type="spellEnd"/>
            <w:r w:rsidRPr="00782B03">
              <w:rPr>
                <w:rFonts w:ascii="Arial" w:hAnsi="Arial" w:cs="Arial"/>
                <w:b/>
                <w:lang w:val="en-US"/>
              </w:rPr>
              <w:t xml:space="preserve"> </w:t>
            </w:r>
            <w:proofErr w:type="spellStart"/>
            <w:r w:rsidRPr="00782B03">
              <w:rPr>
                <w:rFonts w:ascii="Arial" w:hAnsi="Arial" w:cs="Arial"/>
                <w:b/>
                <w:lang w:val="en-US"/>
              </w:rPr>
              <w:t>Csatári</w:t>
            </w:r>
            <w:proofErr w:type="spellEnd"/>
            <w:r w:rsidRPr="00782B03">
              <w:rPr>
                <w:rFonts w:ascii="Arial" w:hAnsi="Arial" w:cs="Arial"/>
                <w:b/>
                <w:lang w:val="en-US"/>
              </w:rPr>
              <w:t xml:space="preserve">, </w:t>
            </w:r>
            <w:proofErr w:type="spellStart"/>
            <w:r w:rsidRPr="00782B03">
              <w:rPr>
                <w:rFonts w:ascii="Arial" w:hAnsi="Arial" w:cs="Arial"/>
                <w:b/>
                <w:lang w:val="en-US"/>
              </w:rPr>
              <w:t>Ph.D</w:t>
            </w:r>
            <w:proofErr w:type="spellEnd"/>
            <w:r w:rsidRPr="00782B03">
              <w:rPr>
                <w:rFonts w:ascii="Arial" w:hAnsi="Arial" w:cs="Arial"/>
                <w:b/>
                <w:lang w:val="en-US"/>
              </w:rPr>
              <w:t>, research assistant</w:t>
            </w:r>
          </w:p>
        </w:tc>
      </w:tr>
      <w:tr w:rsidR="003777F0"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777F0" w:rsidRPr="00782B03" w:rsidRDefault="003777F0" w:rsidP="003777F0">
            <w:pPr>
              <w:pStyle w:val="Listaszerbekezds"/>
              <w:numPr>
                <w:ilvl w:val="0"/>
                <w:numId w:val="23"/>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Completing assignment: </w:t>
            </w:r>
          </w:p>
          <w:p w:rsidR="003777F0" w:rsidRPr="00782B03" w:rsidRDefault="003777F0" w:rsidP="00CD0962">
            <w:pPr>
              <w:pStyle w:val="Listaszerbekezd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deadline for submitting: on Friday 12</w:t>
            </w:r>
            <w:r w:rsidRPr="00782B03">
              <w:rPr>
                <w:rFonts w:ascii="Arial" w:hAnsi="Arial" w:cs="Arial"/>
                <w:sz w:val="22"/>
                <w:szCs w:val="22"/>
                <w:vertAlign w:val="superscript"/>
                <w:lang w:val="en-US" w:eastAsia="en-US"/>
              </w:rPr>
              <w:t>th</w:t>
            </w:r>
            <w:r w:rsidRPr="00782B03">
              <w:rPr>
                <w:rFonts w:ascii="Arial" w:hAnsi="Arial" w:cs="Arial"/>
                <w:sz w:val="22"/>
                <w:szCs w:val="22"/>
                <w:lang w:val="en-US" w:eastAsia="en-US"/>
              </w:rPr>
              <w:t xml:space="preserve"> week; </w:t>
            </w:r>
          </w:p>
          <w:p w:rsidR="003777F0" w:rsidRPr="00782B03" w:rsidRDefault="003777F0" w:rsidP="00CD0962">
            <w:pPr>
              <w:pStyle w:val="Listaszerbekezd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deadline for correction: on Friday 14</w:t>
            </w:r>
            <w:r w:rsidRPr="00782B03">
              <w:rPr>
                <w:rFonts w:ascii="Arial" w:hAnsi="Arial" w:cs="Arial"/>
                <w:sz w:val="22"/>
                <w:szCs w:val="22"/>
                <w:vertAlign w:val="superscript"/>
                <w:lang w:val="en-US" w:eastAsia="en-US"/>
              </w:rPr>
              <w:t>th</w:t>
            </w:r>
            <w:r w:rsidRPr="00782B03">
              <w:rPr>
                <w:rFonts w:ascii="Arial" w:hAnsi="Arial" w:cs="Arial"/>
                <w:sz w:val="22"/>
                <w:szCs w:val="22"/>
                <w:lang w:val="en-US" w:eastAsia="en-US"/>
              </w:rPr>
              <w:t xml:space="preserve"> week; </w:t>
            </w:r>
          </w:p>
          <w:p w:rsidR="003777F0" w:rsidRPr="00782B03" w:rsidRDefault="003777F0" w:rsidP="003777F0">
            <w:pPr>
              <w:pStyle w:val="Listaszerbekezds"/>
              <w:numPr>
                <w:ilvl w:val="0"/>
                <w:numId w:val="23"/>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Giving presentation (at 14</w:t>
            </w:r>
            <w:r w:rsidRPr="00782B03">
              <w:rPr>
                <w:rFonts w:ascii="Arial" w:hAnsi="Arial" w:cs="Arial"/>
                <w:sz w:val="22"/>
                <w:szCs w:val="22"/>
                <w:vertAlign w:val="superscript"/>
                <w:lang w:val="en-US" w:eastAsia="en-US"/>
              </w:rPr>
              <w:t>th</w:t>
            </w:r>
            <w:r w:rsidRPr="00782B03">
              <w:rPr>
                <w:rFonts w:ascii="Arial" w:hAnsi="Arial" w:cs="Arial"/>
                <w:sz w:val="22"/>
                <w:szCs w:val="22"/>
                <w:lang w:val="en-US" w:eastAsia="en-US"/>
              </w:rPr>
              <w:t xml:space="preserve"> week’s practice lesson)</w:t>
            </w:r>
          </w:p>
          <w:p w:rsidR="003777F0" w:rsidRPr="00782B03" w:rsidRDefault="003777F0" w:rsidP="003777F0">
            <w:pPr>
              <w:pStyle w:val="Listaszerbekezds"/>
              <w:numPr>
                <w:ilvl w:val="0"/>
                <w:numId w:val="23"/>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Attending practice / factory visits</w:t>
            </w:r>
          </w:p>
          <w:p w:rsidR="003777F0" w:rsidRPr="00782B03" w:rsidRDefault="003777F0" w:rsidP="003777F0">
            <w:pPr>
              <w:pStyle w:val="Listaszerbekezds"/>
              <w:numPr>
                <w:ilvl w:val="0"/>
                <w:numId w:val="23"/>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Written exam </w:t>
            </w:r>
          </w:p>
        </w:tc>
      </w:tr>
      <w:tr w:rsidR="003777F0"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777F0" w:rsidRPr="00782B03" w:rsidRDefault="003777F0" w:rsidP="00CD0962">
            <w:pPr>
              <w:suppressAutoHyphens/>
              <w:spacing w:after="0" w:line="256" w:lineRule="auto"/>
              <w:jc w:val="both"/>
              <w:rPr>
                <w:rFonts w:ascii="Arial" w:eastAsia="Times New Roman" w:hAnsi="Arial" w:cs="Arial"/>
                <w:lang w:val="en-US"/>
              </w:rPr>
            </w:pPr>
            <w:r w:rsidRPr="00782B03">
              <w:rPr>
                <w:rFonts w:ascii="Arial" w:hAnsi="Arial" w:cs="Arial"/>
                <w:lang w:val="en-US"/>
              </w:rPr>
              <w:t>50% of course grade from assignment + presentation</w:t>
            </w:r>
          </w:p>
          <w:p w:rsidR="003777F0" w:rsidRPr="00782B03" w:rsidRDefault="003777F0" w:rsidP="00CD0962">
            <w:pPr>
              <w:suppressAutoHyphens/>
              <w:spacing w:after="0" w:line="256" w:lineRule="auto"/>
              <w:jc w:val="both"/>
              <w:rPr>
                <w:rFonts w:ascii="Arial" w:hAnsi="Arial" w:cs="Arial"/>
                <w:lang w:val="en-US"/>
              </w:rPr>
            </w:pPr>
            <w:r w:rsidRPr="00782B03">
              <w:rPr>
                <w:rFonts w:ascii="Arial" w:hAnsi="Arial" w:cs="Arial"/>
                <w:lang w:val="en-US"/>
              </w:rPr>
              <w:t>50% of course grade from written exam</w:t>
            </w:r>
          </w:p>
          <w:p w:rsidR="003777F0" w:rsidRPr="00782B03" w:rsidRDefault="003777F0" w:rsidP="00CD0962">
            <w:pPr>
              <w:suppressAutoHyphens/>
              <w:spacing w:after="0" w:line="256" w:lineRule="auto"/>
              <w:jc w:val="both"/>
              <w:rPr>
                <w:rFonts w:ascii="Arial" w:hAnsi="Arial" w:cs="Arial"/>
                <w:lang w:val="en-US"/>
              </w:rPr>
            </w:pPr>
            <w:r w:rsidRPr="00782B03">
              <w:rPr>
                <w:rFonts w:ascii="Arial" w:hAnsi="Arial" w:cs="Arial"/>
                <w:lang w:val="en-US"/>
              </w:rPr>
              <w:t>Grade thresholds:</w:t>
            </w:r>
          </w:p>
          <w:p w:rsidR="003777F0" w:rsidRPr="00782B03" w:rsidRDefault="003777F0" w:rsidP="00CD0962">
            <w:pPr>
              <w:suppressAutoHyphens/>
              <w:spacing w:after="0" w:line="256" w:lineRule="auto"/>
              <w:jc w:val="both"/>
              <w:rPr>
                <w:rFonts w:ascii="Arial" w:hAnsi="Arial" w:cs="Arial"/>
                <w:lang w:val="en-US"/>
              </w:rPr>
            </w:pPr>
            <w:r w:rsidRPr="00782B03">
              <w:rPr>
                <w:rFonts w:ascii="Arial" w:hAnsi="Arial" w:cs="Arial"/>
                <w:lang w:val="en-US"/>
              </w:rPr>
              <w:t xml:space="preserve"> 0-49% - fail (1)</w:t>
            </w:r>
          </w:p>
          <w:p w:rsidR="003777F0" w:rsidRPr="00782B03" w:rsidRDefault="003777F0" w:rsidP="00CD0962">
            <w:pPr>
              <w:suppressAutoHyphens/>
              <w:spacing w:after="0" w:line="256" w:lineRule="auto"/>
              <w:jc w:val="both"/>
              <w:rPr>
                <w:rFonts w:ascii="Arial" w:hAnsi="Arial" w:cs="Arial"/>
                <w:lang w:val="en-US"/>
              </w:rPr>
            </w:pPr>
            <w:r w:rsidRPr="00782B03">
              <w:rPr>
                <w:rFonts w:ascii="Arial" w:hAnsi="Arial" w:cs="Arial"/>
                <w:lang w:val="en-US"/>
              </w:rPr>
              <w:t>50-62% - pass (2)</w:t>
            </w:r>
          </w:p>
          <w:p w:rsidR="003777F0" w:rsidRPr="00782B03" w:rsidRDefault="003777F0" w:rsidP="00CD0962">
            <w:pPr>
              <w:suppressAutoHyphens/>
              <w:spacing w:after="0" w:line="256" w:lineRule="auto"/>
              <w:jc w:val="both"/>
              <w:rPr>
                <w:rFonts w:ascii="Arial" w:hAnsi="Arial" w:cs="Arial"/>
                <w:lang w:val="en-US"/>
              </w:rPr>
            </w:pPr>
            <w:r w:rsidRPr="00782B03">
              <w:rPr>
                <w:rFonts w:ascii="Arial" w:hAnsi="Arial" w:cs="Arial"/>
                <w:lang w:val="en-US"/>
              </w:rPr>
              <w:t>63-74% - satisfactory (3)</w:t>
            </w:r>
          </w:p>
          <w:p w:rsidR="003777F0" w:rsidRPr="00782B03" w:rsidRDefault="003777F0" w:rsidP="00CD0962">
            <w:pPr>
              <w:suppressAutoHyphens/>
              <w:spacing w:after="0" w:line="256" w:lineRule="auto"/>
              <w:jc w:val="both"/>
              <w:rPr>
                <w:rFonts w:ascii="Arial" w:hAnsi="Arial" w:cs="Arial"/>
                <w:lang w:val="en-US"/>
              </w:rPr>
            </w:pPr>
            <w:r w:rsidRPr="00782B03">
              <w:rPr>
                <w:rFonts w:ascii="Arial" w:hAnsi="Arial" w:cs="Arial"/>
                <w:lang w:val="en-US"/>
              </w:rPr>
              <w:t>75-87% - good (4)</w:t>
            </w:r>
          </w:p>
          <w:p w:rsidR="003777F0" w:rsidRPr="00782B03" w:rsidRDefault="003777F0" w:rsidP="00CD0962">
            <w:pPr>
              <w:suppressAutoHyphens/>
              <w:spacing w:after="0" w:line="256" w:lineRule="auto"/>
              <w:jc w:val="both"/>
              <w:rPr>
                <w:rFonts w:ascii="Arial" w:eastAsia="Times New Roman" w:hAnsi="Arial" w:cs="Arial"/>
                <w:lang w:val="en-US"/>
              </w:rPr>
            </w:pPr>
            <w:r w:rsidRPr="00782B03">
              <w:rPr>
                <w:rFonts w:ascii="Arial" w:hAnsi="Arial" w:cs="Arial"/>
                <w:lang w:val="en-US"/>
              </w:rPr>
              <w:t>88-100% - excellent (5)</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777F0" w:rsidRPr="00782B03" w:rsidRDefault="003777F0" w:rsidP="003777F0">
            <w:pPr>
              <w:pStyle w:val="Listaszerbekezds"/>
              <w:numPr>
                <w:ilvl w:val="0"/>
                <w:numId w:val="24"/>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Completing assignment</w:t>
            </w:r>
          </w:p>
          <w:p w:rsidR="003777F0" w:rsidRPr="00782B03" w:rsidRDefault="003777F0" w:rsidP="003777F0">
            <w:pPr>
              <w:pStyle w:val="Listaszerbekezds"/>
              <w:numPr>
                <w:ilvl w:val="0"/>
                <w:numId w:val="24"/>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Giving presentation</w:t>
            </w:r>
          </w:p>
          <w:p w:rsidR="003777F0" w:rsidRPr="00782B03" w:rsidRDefault="003777F0" w:rsidP="003777F0">
            <w:pPr>
              <w:pStyle w:val="Listaszerbekezds"/>
              <w:numPr>
                <w:ilvl w:val="0"/>
                <w:numId w:val="24"/>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Attending practice / factory visits</w:t>
            </w:r>
          </w:p>
        </w:tc>
      </w:tr>
    </w:tbl>
    <w:p w:rsidR="003777F0" w:rsidRPr="00782B03" w:rsidRDefault="003777F0" w:rsidP="003777F0">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777F0"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777F0" w:rsidRPr="00782B03" w:rsidRDefault="003777F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3777F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777F0" w:rsidRPr="00782B03" w:rsidRDefault="003777F0" w:rsidP="00CD0962">
            <w:pPr>
              <w:suppressAutoHyphens/>
              <w:spacing w:line="256" w:lineRule="auto"/>
              <w:jc w:val="both"/>
              <w:rPr>
                <w:rFonts w:ascii="Arial" w:eastAsia="Times New Roman" w:hAnsi="Arial" w:cs="Arial"/>
                <w:lang w:val="en-US"/>
              </w:rPr>
            </w:pPr>
            <w:r w:rsidRPr="00782B03">
              <w:rPr>
                <w:rFonts w:ascii="Arial" w:hAnsi="Arial" w:cs="Arial"/>
                <w:lang w:val="en-US"/>
              </w:rPr>
              <w:t>One short question from each topic in the written exam test. The question list will be accessible for students and contains several questions from each topic.</w:t>
            </w:r>
          </w:p>
        </w:tc>
      </w:tr>
    </w:tbl>
    <w:p w:rsidR="00F42A96" w:rsidRPr="003777F0" w:rsidRDefault="00F42A96" w:rsidP="003777F0"/>
    <w:sectPr w:rsidR="00F42A96" w:rsidRPr="0037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07"/>
    <w:multiLevelType w:val="hybridMultilevel"/>
    <w:tmpl w:val="16F40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6807E2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9635A9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8" w15:restartNumberingAfterBreak="0">
    <w:nsid w:val="1F9E2C4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944455C"/>
    <w:multiLevelType w:val="hybridMultilevel"/>
    <w:tmpl w:val="2842E79E"/>
    <w:lvl w:ilvl="0" w:tplc="81226C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D81682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40A52D97"/>
    <w:multiLevelType w:val="hybridMultilevel"/>
    <w:tmpl w:val="8C3E9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0C2D8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0"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14"/>
  </w:num>
  <w:num w:numId="2">
    <w:abstractNumId w:val="5"/>
  </w:num>
  <w:num w:numId="3">
    <w:abstractNumId w:val="17"/>
  </w:num>
  <w:num w:numId="4">
    <w:abstractNumId w:val="11"/>
  </w:num>
  <w:num w:numId="5">
    <w:abstractNumId w:val="15"/>
  </w:num>
  <w:num w:numId="6">
    <w:abstractNumId w:val="12"/>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6"/>
  </w:num>
  <w:num w:numId="21">
    <w:abstractNumId w:val="3"/>
  </w:num>
  <w:num w:numId="22">
    <w:abstractNumId w:val="8"/>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576CBA"/>
    <w:rsid w:val="00BF07EF"/>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4139</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2019-08-28T09:42:00Z</dcterms:created>
  <dcterms:modified xsi:type="dcterms:W3CDTF">2019-08-28T09:42:00Z</dcterms:modified>
</cp:coreProperties>
</file>