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9" w:rsidRDefault="00EA1459" w:rsidP="00EA1459">
      <w:pPr>
        <w:jc w:val="center"/>
        <w:rPr>
          <w:rFonts w:eastAsia="Times New Roman"/>
          <w:b/>
          <w:sz w:val="20"/>
          <w:szCs w:val="24"/>
          <w:lang w:eastAsia="hu-HU"/>
        </w:rPr>
      </w:pPr>
    </w:p>
    <w:p w:rsidR="00411A1E" w:rsidRDefault="00411A1E" w:rsidP="00411A1E">
      <w:pPr>
        <w:jc w:val="center"/>
        <w:rPr>
          <w:b/>
          <w:sz w:val="20"/>
          <w:szCs w:val="20"/>
        </w:rPr>
      </w:pPr>
      <w:bookmarkStart w:id="0" w:name="_GoBack"/>
      <w:r w:rsidRPr="00CD39D2">
        <w:rPr>
          <w:rFonts w:eastAsia="Times New Roman"/>
          <w:b/>
          <w:sz w:val="20"/>
          <w:szCs w:val="20"/>
          <w:lang w:eastAsia="hu-HU"/>
        </w:rPr>
        <w:t xml:space="preserve">Integrated pest management, IPM </w:t>
      </w:r>
      <w:r w:rsidRPr="00CD39D2">
        <w:rPr>
          <w:b/>
          <w:sz w:val="20"/>
          <w:szCs w:val="20"/>
        </w:rPr>
        <w:t>MTMNO7025A</w:t>
      </w:r>
    </w:p>
    <w:bookmarkEnd w:id="0"/>
    <w:p w:rsidR="00411A1E" w:rsidRDefault="00411A1E" w:rsidP="00411A1E">
      <w:pPr>
        <w:jc w:val="center"/>
        <w:rPr>
          <w:b/>
          <w:sz w:val="20"/>
          <w:szCs w:val="20"/>
        </w:rPr>
      </w:pP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Name and code of the subject: (IPM) Integrated plant protection, MTMNO7025A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Name and title of the person responsible for the subject: Dr.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László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Radócz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associate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professor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Additional instructors involved in teaching the </w:t>
      </w:r>
      <w:proofErr w:type="gramStart"/>
      <w:r w:rsidRPr="00CD39D2">
        <w:rPr>
          <w:rFonts w:eastAsia="Times New Roman"/>
          <w:sz w:val="20"/>
          <w:szCs w:val="20"/>
          <w:lang w:eastAsia="hu-HU"/>
        </w:rPr>
        <w:t>subject:-</w:t>
      </w:r>
      <w:proofErr w:type="gramEnd"/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Name and level of the program: Plant Protection MSc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Subject type: obligatory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Teaching timetable of the subject, type of examination: 3+2/Oral exam</w:t>
      </w:r>
    </w:p>
    <w:p w:rsidR="00411A1E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Credit value of the subject: 3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Purpose of teaching the subject: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Demonstration of integrated plant protection as an integral part of the work process of the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agricultural production.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It is extremely important that participants do not limit plant protection to the use of pesticide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products, but consider plant protection as a combined system of different protection practices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within the cultivation activity.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An essential requirement is that students recognize the most important pests (know what,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when, where to look); recognize the damage.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In accordance with the knowledge of Plant Protection Chemistry, detailed knowledge should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be taught and reference should be made to all possible control procedures (including plant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protection products that can be used), but there should be a reference to plant protection</w:t>
      </w:r>
    </w:p>
    <w:p w:rsidR="00411A1E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knowledge when describing preparations.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Pest control should be taught according to the approach and requirements of integrated pest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CD39D2">
        <w:rPr>
          <w:rFonts w:eastAsia="Times New Roman"/>
          <w:sz w:val="20"/>
          <w:szCs w:val="20"/>
          <w:lang w:eastAsia="hu-HU"/>
        </w:rPr>
        <w:t>management.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Content of the subject (14 weeks):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1. Modern plant protection of autumn cereals,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2. Modern plant protection for spring cereals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3. Modern plant protection of maize,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4. Modern plant protection of sunflowers,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5. Plant protection of winter oilseed rape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6. Modern plant protection of potatoes and tobacco,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7. Modern plant protection of peppers and tomatoes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8. Modern plant protection of cucumbers, melons, pumpkins,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9. Modern plant protection of cabbages (cabbage, cauliflower, turnips, radishes, lettuce),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10. Modern plant protection of onions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11. Modern plant protection of sugar beet,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12. Modern plant protection of peas, alfalfa, soybeans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13. Modern plant protection of nurseries,</w:t>
      </w:r>
    </w:p>
    <w:p w:rsidR="00411A1E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14. Modern plant protection of greenhouses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Type of mid-term examination: mid-year audit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Method of assessment (semester examination mark - report, practical grade, colloquium,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examination): Practical colloquium</w:t>
      </w:r>
    </w:p>
    <w:p w:rsidR="00411A1E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Teaching aids: lecture slides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Recommended literature: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 xml:space="preserve">1. </w:t>
      </w:r>
      <w:proofErr w:type="spellStart"/>
      <w:r w:rsidRPr="00CD39D2">
        <w:rPr>
          <w:rFonts w:eastAsia="Times New Roman"/>
          <w:sz w:val="20"/>
          <w:szCs w:val="20"/>
          <w:lang w:eastAsia="hu-HU"/>
        </w:rPr>
        <w:t>Radócz</w:t>
      </w:r>
      <w:proofErr w:type="spellEnd"/>
      <w:r w:rsidRPr="00CD39D2">
        <w:rPr>
          <w:rFonts w:eastAsia="Times New Roman"/>
          <w:sz w:val="20"/>
          <w:szCs w:val="20"/>
          <w:lang w:eastAsia="hu-HU"/>
        </w:rPr>
        <w:t xml:space="preserve"> </w:t>
      </w:r>
      <w:proofErr w:type="gramStart"/>
      <w:r w:rsidRPr="00CD39D2">
        <w:rPr>
          <w:rFonts w:eastAsia="Times New Roman"/>
          <w:sz w:val="20"/>
          <w:szCs w:val="20"/>
          <w:lang w:eastAsia="hu-HU"/>
        </w:rPr>
        <w:t>L .</w:t>
      </w:r>
      <w:proofErr w:type="gramEnd"/>
      <w:r w:rsidRPr="00CD39D2">
        <w:rPr>
          <w:rFonts w:eastAsia="Times New Roman"/>
          <w:sz w:val="20"/>
          <w:szCs w:val="20"/>
          <w:lang w:eastAsia="hu-HU"/>
        </w:rPr>
        <w:t>: Modern plant protection, II-IV. (Fundamentals of Plant Protection in Major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Field and Horticultural Crops). University Publishing House, Debrecen (2010). (ISBN: 978-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606-10-0181-1).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2.http://www.tankonyvtar.hu/en/tartalom/tamop425/0010_1A_Book_08_Novenyvedelem/ada</w:t>
      </w:r>
    </w:p>
    <w:p w:rsidR="00411A1E" w:rsidRPr="00CD39D2" w:rsidRDefault="00411A1E" w:rsidP="00411A1E">
      <w:pPr>
        <w:rPr>
          <w:rFonts w:eastAsia="Times New Roman"/>
          <w:sz w:val="20"/>
          <w:szCs w:val="20"/>
          <w:lang w:eastAsia="hu-HU"/>
        </w:rPr>
      </w:pPr>
      <w:r w:rsidRPr="00CD39D2">
        <w:rPr>
          <w:rFonts w:eastAsia="Times New Roman"/>
          <w:sz w:val="20"/>
          <w:szCs w:val="20"/>
          <w:lang w:eastAsia="hu-HU"/>
        </w:rPr>
        <w:t>tok.1</w:t>
      </w:r>
    </w:p>
    <w:p w:rsidR="00314FB7" w:rsidRDefault="00314FB7" w:rsidP="00411A1E">
      <w:pPr>
        <w:jc w:val="center"/>
      </w:pPr>
    </w:p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9"/>
    <w:rsid w:val="00314FB7"/>
    <w:rsid w:val="00411A1E"/>
    <w:rsid w:val="00EA1459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035"/>
  <w15:chartTrackingRefBased/>
  <w15:docId w15:val="{D054435D-9390-48DB-95BB-FA5167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A14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2022-09-02T08:15:00Z</dcterms:created>
  <dcterms:modified xsi:type="dcterms:W3CDTF">2022-09-02T08:15:00Z</dcterms:modified>
</cp:coreProperties>
</file>