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B01DA3" w:rsidRPr="004B40E4" w:rsidTr="00CD0962">
        <w:tc>
          <w:tcPr>
            <w:tcW w:w="7088" w:type="dxa"/>
            <w:tcMar>
              <w:top w:w="57" w:type="dxa"/>
              <w:bottom w:w="57" w:type="dxa"/>
            </w:tcMar>
          </w:tcPr>
          <w:p w:rsidR="00B01DA3" w:rsidRPr="004B40E4" w:rsidRDefault="00B01DA3" w:rsidP="00CD0962">
            <w:pPr>
              <w:jc w:val="both"/>
              <w:rPr>
                <w:rFonts w:ascii="Arial" w:hAnsi="Arial" w:cs="Arial"/>
                <w:color w:val="auto"/>
                <w:sz w:val="22"/>
                <w:szCs w:val="22"/>
                <w:lang w:val="en-GB"/>
              </w:rPr>
            </w:pPr>
            <w:r w:rsidRPr="004B40E4">
              <w:rPr>
                <w:rFonts w:ascii="Arial" w:hAnsi="Arial" w:cs="Arial"/>
                <w:b/>
                <w:color w:val="auto"/>
                <w:sz w:val="22"/>
                <w:szCs w:val="22"/>
                <w:lang w:val="en-GB"/>
              </w:rPr>
              <w:t>Title and Code</w:t>
            </w:r>
            <w:r w:rsidRPr="004B40E4">
              <w:rPr>
                <w:rFonts w:ascii="Arial" w:hAnsi="Arial" w:cs="Arial"/>
                <w:color w:val="auto"/>
                <w:sz w:val="22"/>
                <w:szCs w:val="22"/>
                <w:lang w:val="en-GB"/>
              </w:rPr>
              <w:t xml:space="preserve"> of the subject:</w:t>
            </w:r>
          </w:p>
          <w:p w:rsidR="00B01DA3" w:rsidRPr="004B40E4" w:rsidRDefault="00B01DA3" w:rsidP="00CD0962">
            <w:pPr>
              <w:jc w:val="both"/>
              <w:rPr>
                <w:rFonts w:ascii="Arial" w:hAnsi="Arial" w:cs="Arial"/>
                <w:b/>
                <w:i/>
                <w:color w:val="auto"/>
                <w:sz w:val="22"/>
                <w:szCs w:val="22"/>
                <w:lang w:val="en-GB"/>
              </w:rPr>
            </w:pPr>
            <w:bookmarkStart w:id="0" w:name="_GoBack"/>
            <w:r w:rsidRPr="004B40E4">
              <w:rPr>
                <w:rFonts w:ascii="Arial" w:hAnsi="Arial" w:cs="Arial"/>
                <w:b/>
                <w:color w:val="auto"/>
                <w:sz w:val="22"/>
                <w:szCs w:val="22"/>
                <w:lang w:val="en-GB"/>
              </w:rPr>
              <w:t>Nutritional Sciences</w:t>
            </w:r>
            <w:r>
              <w:rPr>
                <w:rFonts w:ascii="Arial" w:hAnsi="Arial" w:cs="Arial"/>
                <w:b/>
                <w:color w:val="auto"/>
                <w:sz w:val="22"/>
                <w:szCs w:val="22"/>
                <w:lang w:val="en-GB"/>
              </w:rPr>
              <w:t>,</w:t>
            </w:r>
            <w:r w:rsidRPr="004B40E4">
              <w:rPr>
                <w:rFonts w:ascii="Arial" w:hAnsi="Arial" w:cs="Arial"/>
                <w:color w:val="auto"/>
                <w:sz w:val="22"/>
                <w:szCs w:val="22"/>
              </w:rPr>
              <w:t xml:space="preserve"> </w:t>
            </w:r>
            <w:r w:rsidRPr="00E44A32">
              <w:rPr>
                <w:rFonts w:ascii="Arial" w:hAnsi="Arial" w:cs="Arial"/>
                <w:b/>
                <w:color w:val="auto"/>
                <w:sz w:val="22"/>
                <w:szCs w:val="22"/>
              </w:rPr>
              <w:t>MTMEL7009A</w:t>
            </w:r>
            <w:bookmarkEnd w:id="0"/>
          </w:p>
        </w:tc>
        <w:tc>
          <w:tcPr>
            <w:tcW w:w="2268" w:type="dxa"/>
            <w:tcMar>
              <w:top w:w="57" w:type="dxa"/>
              <w:bottom w:w="57" w:type="dxa"/>
            </w:tcMar>
          </w:tcPr>
          <w:p w:rsidR="00B01DA3" w:rsidRPr="004B40E4" w:rsidRDefault="00B01DA3" w:rsidP="00CD0962">
            <w:pPr>
              <w:spacing w:before="60"/>
              <w:jc w:val="both"/>
              <w:rPr>
                <w:rFonts w:ascii="Arial" w:hAnsi="Arial" w:cs="Arial"/>
                <w:b/>
                <w:color w:val="auto"/>
                <w:sz w:val="22"/>
                <w:szCs w:val="22"/>
                <w:lang w:val="en-GB"/>
              </w:rPr>
            </w:pPr>
            <w:r w:rsidRPr="004B40E4">
              <w:rPr>
                <w:rFonts w:ascii="Arial" w:hAnsi="Arial" w:cs="Arial"/>
                <w:b/>
                <w:color w:val="auto"/>
                <w:sz w:val="22"/>
                <w:szCs w:val="22"/>
                <w:lang w:val="en-GB"/>
              </w:rPr>
              <w:t>ECTS Credit Points: 3</w:t>
            </w:r>
          </w:p>
        </w:tc>
      </w:tr>
      <w:tr w:rsidR="00B01DA3" w:rsidRPr="004B40E4" w:rsidTr="00CD0962">
        <w:tc>
          <w:tcPr>
            <w:tcW w:w="9356" w:type="dxa"/>
            <w:gridSpan w:val="2"/>
            <w:tcMar>
              <w:top w:w="57" w:type="dxa"/>
              <w:bottom w:w="57" w:type="dxa"/>
            </w:tcMar>
          </w:tcPr>
          <w:p w:rsidR="00B01DA3" w:rsidRPr="004B40E4" w:rsidRDefault="00B01DA3" w:rsidP="00CD0962">
            <w:pPr>
              <w:spacing w:before="60"/>
              <w:jc w:val="both"/>
              <w:rPr>
                <w:rFonts w:ascii="Arial" w:hAnsi="Arial" w:cs="Arial"/>
                <w:color w:val="auto"/>
                <w:sz w:val="22"/>
                <w:szCs w:val="22"/>
                <w:lang w:val="en-GB"/>
              </w:rPr>
            </w:pPr>
            <w:r w:rsidRPr="004B40E4">
              <w:rPr>
                <w:rFonts w:ascii="Arial" w:hAnsi="Arial" w:cs="Arial"/>
                <w:b/>
                <w:color w:val="auto"/>
                <w:sz w:val="22"/>
                <w:szCs w:val="22"/>
                <w:lang w:val="en-GB"/>
              </w:rPr>
              <w:t>Type</w:t>
            </w:r>
            <w:r w:rsidRPr="004B40E4">
              <w:rPr>
                <w:rFonts w:ascii="Arial" w:hAnsi="Arial" w:cs="Arial"/>
                <w:color w:val="auto"/>
                <w:sz w:val="22"/>
                <w:szCs w:val="22"/>
                <w:lang w:val="en-GB"/>
              </w:rPr>
              <w:t xml:space="preserve"> of the subject: </w:t>
            </w:r>
            <w:r w:rsidRPr="004B40E4">
              <w:rPr>
                <w:rFonts w:ascii="Arial" w:hAnsi="Arial" w:cs="Arial"/>
                <w:b/>
                <w:color w:val="auto"/>
                <w:sz w:val="22"/>
                <w:szCs w:val="22"/>
                <w:lang w:val="en-GB"/>
              </w:rPr>
              <w:t>compulsory</w:t>
            </w:r>
          </w:p>
        </w:tc>
      </w:tr>
      <w:tr w:rsidR="00B01DA3" w:rsidRPr="004B40E4" w:rsidTr="00CD0962">
        <w:tc>
          <w:tcPr>
            <w:tcW w:w="9356" w:type="dxa"/>
            <w:gridSpan w:val="2"/>
            <w:tcMar>
              <w:top w:w="57" w:type="dxa"/>
              <w:bottom w:w="57" w:type="dxa"/>
            </w:tcMar>
          </w:tcPr>
          <w:p w:rsidR="00B01DA3" w:rsidRPr="004B40E4" w:rsidRDefault="00B01DA3" w:rsidP="00CD0962">
            <w:pPr>
              <w:spacing w:before="40" w:after="40"/>
              <w:jc w:val="both"/>
              <w:rPr>
                <w:rFonts w:ascii="Arial" w:hAnsi="Arial" w:cs="Arial"/>
                <w:color w:val="auto"/>
                <w:sz w:val="22"/>
                <w:szCs w:val="22"/>
                <w:lang w:val="en-GB"/>
              </w:rPr>
            </w:pPr>
            <w:r w:rsidRPr="004B40E4">
              <w:rPr>
                <w:rFonts w:ascii="Arial" w:hAnsi="Arial" w:cs="Arial"/>
                <w:b/>
                <w:color w:val="auto"/>
                <w:sz w:val="22"/>
                <w:szCs w:val="22"/>
                <w:lang w:val="en-GB"/>
              </w:rPr>
              <w:t>Ratio of theory and practice</w:t>
            </w:r>
            <w:r w:rsidRPr="004B40E4">
              <w:rPr>
                <w:rFonts w:ascii="Arial" w:hAnsi="Arial" w:cs="Arial"/>
                <w:color w:val="auto"/>
                <w:sz w:val="22"/>
                <w:szCs w:val="22"/>
                <w:lang w:val="en-GB"/>
              </w:rPr>
              <w:t xml:space="preserve"> (credit%)</w:t>
            </w:r>
            <w:r>
              <w:rPr>
                <w:rFonts w:ascii="Arial" w:hAnsi="Arial" w:cs="Arial"/>
                <w:color w:val="auto"/>
                <w:sz w:val="22"/>
                <w:szCs w:val="22"/>
                <w:lang w:val="en-GB"/>
              </w:rPr>
              <w:t xml:space="preserve"> </w:t>
            </w:r>
            <w:r w:rsidRPr="004B40E4">
              <w:rPr>
                <w:rFonts w:ascii="Arial" w:hAnsi="Arial" w:cs="Arial"/>
                <w:color w:val="auto"/>
                <w:sz w:val="22"/>
                <w:szCs w:val="22"/>
                <w:lang w:val="en-GB"/>
              </w:rPr>
              <w:t>100 % theoretical, 0 % practical</w:t>
            </w:r>
          </w:p>
        </w:tc>
      </w:tr>
      <w:tr w:rsidR="00B01DA3" w:rsidRPr="004B40E4" w:rsidTr="00CD0962">
        <w:tc>
          <w:tcPr>
            <w:tcW w:w="9356" w:type="dxa"/>
            <w:gridSpan w:val="2"/>
            <w:tcMar>
              <w:top w:w="57" w:type="dxa"/>
              <w:bottom w:w="57" w:type="dxa"/>
            </w:tcMar>
          </w:tcPr>
          <w:p w:rsidR="00B01DA3" w:rsidRPr="004B40E4" w:rsidRDefault="00B01DA3" w:rsidP="00CD0962">
            <w:pPr>
              <w:spacing w:before="60"/>
              <w:jc w:val="both"/>
              <w:rPr>
                <w:rFonts w:ascii="Arial" w:hAnsi="Arial" w:cs="Arial"/>
                <w:color w:val="auto"/>
                <w:sz w:val="22"/>
                <w:szCs w:val="22"/>
                <w:lang w:val="en-GB"/>
              </w:rPr>
            </w:pPr>
            <w:r w:rsidRPr="004B40E4">
              <w:rPr>
                <w:rFonts w:ascii="Arial" w:hAnsi="Arial" w:cs="Arial"/>
                <w:b/>
                <w:color w:val="auto"/>
                <w:sz w:val="22"/>
                <w:szCs w:val="22"/>
                <w:lang w:val="en-GB"/>
              </w:rPr>
              <w:t>Type and number of classes per semester</w:t>
            </w:r>
            <w:r w:rsidRPr="004B40E4">
              <w:rPr>
                <w:rFonts w:ascii="Arial" w:hAnsi="Arial" w:cs="Arial"/>
                <w:color w:val="auto"/>
                <w:sz w:val="22"/>
                <w:szCs w:val="22"/>
                <w:lang w:val="en-GB"/>
              </w:rPr>
              <w:t xml:space="preserve">: 28 hours lecture per </w:t>
            </w:r>
            <w:r w:rsidRPr="004B40E4">
              <w:rPr>
                <w:rFonts w:ascii="Arial" w:hAnsi="Arial" w:cs="Arial"/>
                <w:b/>
                <w:color w:val="auto"/>
                <w:sz w:val="22"/>
                <w:szCs w:val="22"/>
                <w:lang w:val="en-GB"/>
              </w:rPr>
              <w:t>semester</w:t>
            </w:r>
          </w:p>
          <w:p w:rsidR="00B01DA3" w:rsidRPr="004B40E4" w:rsidRDefault="00B01DA3" w:rsidP="00CD0962">
            <w:pPr>
              <w:spacing w:before="60"/>
              <w:jc w:val="both"/>
              <w:rPr>
                <w:rFonts w:ascii="Arial" w:hAnsi="Arial" w:cs="Arial"/>
                <w:color w:val="auto"/>
                <w:sz w:val="22"/>
                <w:szCs w:val="22"/>
                <w:lang w:val="en-GB"/>
              </w:rPr>
            </w:pPr>
            <w:r w:rsidRPr="004B40E4">
              <w:rPr>
                <w:rFonts w:ascii="Arial" w:hAnsi="Arial" w:cs="Arial"/>
                <w:color w:val="auto"/>
                <w:sz w:val="22"/>
                <w:szCs w:val="22"/>
                <w:lang w:val="en-GB"/>
              </w:rPr>
              <w:t xml:space="preserve">Number of teaching hours per week : 2 </w:t>
            </w:r>
            <w:r>
              <w:rPr>
                <w:rFonts w:ascii="Arial" w:hAnsi="Arial" w:cs="Arial"/>
                <w:color w:val="auto"/>
                <w:sz w:val="22"/>
                <w:szCs w:val="22"/>
                <w:lang w:val="en-GB"/>
              </w:rPr>
              <w:t>lectures + 0 seminar</w:t>
            </w:r>
          </w:p>
        </w:tc>
      </w:tr>
      <w:tr w:rsidR="00B01DA3" w:rsidRPr="004B40E4" w:rsidTr="00CD0962">
        <w:tc>
          <w:tcPr>
            <w:tcW w:w="9356" w:type="dxa"/>
            <w:gridSpan w:val="2"/>
            <w:tcMar>
              <w:top w:w="57" w:type="dxa"/>
              <w:bottom w:w="57" w:type="dxa"/>
            </w:tcMar>
          </w:tcPr>
          <w:p w:rsidR="00B01DA3" w:rsidRPr="004B40E4" w:rsidRDefault="00B01DA3" w:rsidP="00CD0962">
            <w:pPr>
              <w:spacing w:before="60"/>
              <w:jc w:val="both"/>
              <w:rPr>
                <w:rFonts w:ascii="Arial" w:hAnsi="Arial" w:cs="Arial"/>
                <w:b/>
                <w:sz w:val="22"/>
                <w:szCs w:val="22"/>
                <w:lang w:val="en-GB"/>
              </w:rPr>
            </w:pPr>
            <w:r w:rsidRPr="004B40E4">
              <w:rPr>
                <w:rFonts w:ascii="Arial" w:hAnsi="Arial" w:cs="Arial"/>
                <w:b/>
                <w:sz w:val="22"/>
                <w:szCs w:val="22"/>
                <w:lang w:val="en-GB"/>
              </w:rPr>
              <w:t>Type of exam</w:t>
            </w:r>
            <w:r w:rsidRPr="004B40E4">
              <w:rPr>
                <w:rFonts w:ascii="Arial" w:hAnsi="Arial" w:cs="Arial"/>
                <w:sz w:val="22"/>
                <w:szCs w:val="22"/>
                <w:lang w:val="en-GB"/>
              </w:rPr>
              <w:t xml:space="preserve">: </w:t>
            </w:r>
            <w:r w:rsidRPr="004B40E4">
              <w:rPr>
                <w:rFonts w:ascii="Arial" w:hAnsi="Arial" w:cs="Arial"/>
                <w:b/>
                <w:sz w:val="22"/>
                <w:szCs w:val="22"/>
                <w:lang w:val="en-GB"/>
              </w:rPr>
              <w:t>colloquium</w:t>
            </w:r>
          </w:p>
        </w:tc>
      </w:tr>
      <w:tr w:rsidR="00B01DA3" w:rsidRPr="004B40E4" w:rsidTr="00CD0962">
        <w:tc>
          <w:tcPr>
            <w:tcW w:w="9356" w:type="dxa"/>
            <w:gridSpan w:val="2"/>
            <w:tcMar>
              <w:top w:w="57" w:type="dxa"/>
              <w:bottom w:w="57" w:type="dxa"/>
            </w:tcMar>
          </w:tcPr>
          <w:p w:rsidR="00B01DA3" w:rsidRPr="004B40E4" w:rsidRDefault="00B01DA3" w:rsidP="00CD0962">
            <w:pPr>
              <w:jc w:val="both"/>
              <w:rPr>
                <w:rFonts w:ascii="Arial" w:hAnsi="Arial" w:cs="Arial"/>
                <w:sz w:val="22"/>
                <w:szCs w:val="22"/>
                <w:lang w:val="en-GB"/>
              </w:rPr>
            </w:pPr>
            <w:r w:rsidRPr="004B40E4">
              <w:rPr>
                <w:rFonts w:ascii="Arial" w:hAnsi="Arial" w:cs="Arial"/>
                <w:b/>
                <w:sz w:val="22"/>
                <w:szCs w:val="22"/>
                <w:lang w:val="en-GB"/>
              </w:rPr>
              <w:t>Subject in the curriculum</w:t>
            </w:r>
            <w:r w:rsidRPr="004B40E4">
              <w:rPr>
                <w:rFonts w:ascii="Arial" w:hAnsi="Arial" w:cs="Arial"/>
                <w:sz w:val="22"/>
                <w:szCs w:val="22"/>
                <w:lang w:val="en-GB"/>
              </w:rPr>
              <w:t xml:space="preserve">: </w:t>
            </w:r>
            <w:r w:rsidRPr="004B40E4">
              <w:rPr>
                <w:rFonts w:ascii="Arial" w:hAnsi="Arial" w:cs="Arial"/>
                <w:b/>
                <w:sz w:val="22"/>
                <w:szCs w:val="22"/>
                <w:lang w:val="en-GB"/>
              </w:rPr>
              <w:t>2nd semester.</w:t>
            </w:r>
          </w:p>
        </w:tc>
      </w:tr>
      <w:tr w:rsidR="00B01DA3" w:rsidRPr="004B40E4" w:rsidTr="00CD0962">
        <w:tc>
          <w:tcPr>
            <w:tcW w:w="9356" w:type="dxa"/>
            <w:gridSpan w:val="2"/>
            <w:tcMar>
              <w:top w:w="57" w:type="dxa"/>
              <w:bottom w:w="57" w:type="dxa"/>
            </w:tcMar>
          </w:tcPr>
          <w:p w:rsidR="00B01DA3" w:rsidRPr="004B40E4" w:rsidRDefault="00B01DA3" w:rsidP="00CD0962">
            <w:pPr>
              <w:jc w:val="both"/>
              <w:rPr>
                <w:rFonts w:ascii="Arial" w:hAnsi="Arial" w:cs="Arial"/>
                <w:i/>
                <w:sz w:val="22"/>
                <w:szCs w:val="22"/>
                <w:lang w:val="en-GB"/>
              </w:rPr>
            </w:pPr>
            <w:r w:rsidRPr="004B40E4">
              <w:rPr>
                <w:rFonts w:ascii="Arial" w:hAnsi="Arial" w:cs="Arial"/>
                <w:b/>
                <w:sz w:val="22"/>
                <w:szCs w:val="22"/>
                <w:lang w:val="en-GB"/>
              </w:rPr>
              <w:t>Preliminary requirements:</w:t>
            </w:r>
          </w:p>
          <w:p w:rsidR="00B01DA3" w:rsidRPr="004B40E4" w:rsidRDefault="00B01DA3" w:rsidP="00CD0962">
            <w:pPr>
              <w:jc w:val="both"/>
              <w:rPr>
                <w:rFonts w:ascii="Arial" w:hAnsi="Arial" w:cs="Arial"/>
                <w:sz w:val="22"/>
                <w:szCs w:val="22"/>
                <w:lang w:val="en-GB"/>
              </w:rPr>
            </w:pPr>
            <w:r w:rsidRPr="004B40E4">
              <w:rPr>
                <w:rFonts w:ascii="Arial" w:hAnsi="Arial" w:cs="Arial"/>
                <w:sz w:val="22"/>
                <w:szCs w:val="22"/>
                <w:lang w:val="en-GB"/>
              </w:rPr>
              <w:t>MTMEL7004A</w:t>
            </w:r>
            <w:r w:rsidRPr="004B40E4">
              <w:rPr>
                <w:rFonts w:ascii="Arial" w:hAnsi="Arial" w:cs="Arial"/>
                <w:b/>
                <w:sz w:val="22"/>
                <w:szCs w:val="22"/>
                <w:lang w:val="en-GB"/>
              </w:rPr>
              <w:t xml:space="preserve"> Quality and safety in food technologies (HACCP in practice)</w:t>
            </w:r>
          </w:p>
        </w:tc>
      </w:tr>
    </w:tbl>
    <w:p w:rsidR="00B01DA3" w:rsidRPr="004B40E4" w:rsidRDefault="00B01DA3" w:rsidP="00B01DA3">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01DA3" w:rsidRPr="004B40E4" w:rsidTr="00CD0962">
        <w:tc>
          <w:tcPr>
            <w:tcW w:w="9356" w:type="dxa"/>
            <w:tcBorders>
              <w:bottom w:val="dotted" w:sz="4" w:space="0" w:color="auto"/>
            </w:tcBorders>
            <w:tcMar>
              <w:top w:w="57" w:type="dxa"/>
              <w:bottom w:w="57" w:type="dxa"/>
            </w:tcMar>
          </w:tcPr>
          <w:p w:rsidR="00B01DA3" w:rsidRPr="004B40E4" w:rsidRDefault="00B01DA3"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Summary of content - </w:t>
            </w:r>
            <w:r w:rsidRPr="004B40E4">
              <w:rPr>
                <w:rFonts w:ascii="Arial" w:hAnsi="Arial" w:cs="Arial"/>
                <w:b/>
                <w:sz w:val="22"/>
                <w:szCs w:val="22"/>
                <w:u w:val="single"/>
                <w:lang w:val="en-GB"/>
              </w:rPr>
              <w:t>theory</w:t>
            </w:r>
            <w:r w:rsidRPr="004B40E4">
              <w:rPr>
                <w:rFonts w:ascii="Arial" w:hAnsi="Arial" w:cs="Arial"/>
                <w:sz w:val="22"/>
                <w:szCs w:val="22"/>
                <w:lang w:val="en-GB"/>
              </w:rPr>
              <w:t>:</w:t>
            </w:r>
          </w:p>
        </w:tc>
      </w:tr>
      <w:tr w:rsidR="00B01DA3" w:rsidRPr="004B40E4" w:rsidTr="00CD0962">
        <w:trPr>
          <w:trHeight w:val="280"/>
        </w:trPr>
        <w:tc>
          <w:tcPr>
            <w:tcW w:w="9356" w:type="dxa"/>
            <w:tcBorders>
              <w:top w:val="dotted" w:sz="4" w:space="0" w:color="auto"/>
            </w:tcBorders>
            <w:shd w:val="clear" w:color="auto" w:fill="FFF2CC"/>
            <w:tcMar>
              <w:top w:w="57" w:type="dxa"/>
              <w:bottom w:w="57" w:type="dxa"/>
            </w:tcMar>
          </w:tcPr>
          <w:p w:rsidR="00B01DA3" w:rsidRPr="004B40E4" w:rsidRDefault="00B01DA3" w:rsidP="00CD0962">
            <w:pPr>
              <w:spacing w:before="60"/>
              <w:rPr>
                <w:rFonts w:ascii="Arial" w:hAnsi="Arial" w:cs="Arial"/>
                <w:sz w:val="22"/>
                <w:szCs w:val="22"/>
                <w:lang w:val="en-GB"/>
              </w:rPr>
            </w:pPr>
            <w:r w:rsidRPr="004B40E4">
              <w:rPr>
                <w:rFonts w:ascii="Arial" w:hAnsi="Arial" w:cs="Arial"/>
                <w:sz w:val="22"/>
                <w:szCs w:val="22"/>
                <w:lang w:val="en-GB"/>
              </w:rPr>
              <w:t>Course objectives:</w:t>
            </w:r>
          </w:p>
          <w:p w:rsidR="00B01DA3" w:rsidRPr="004B40E4" w:rsidRDefault="00B01DA3" w:rsidP="00CD0962">
            <w:pPr>
              <w:spacing w:before="60"/>
              <w:rPr>
                <w:rFonts w:ascii="Arial" w:hAnsi="Arial" w:cs="Arial"/>
                <w:sz w:val="22"/>
                <w:szCs w:val="22"/>
                <w:lang w:val="en-GB"/>
              </w:rPr>
            </w:pPr>
            <w:r w:rsidRPr="004B40E4">
              <w:rPr>
                <w:rFonts w:ascii="Arial" w:hAnsi="Arial" w:cs="Arial"/>
                <w:sz w:val="22"/>
                <w:szCs w:val="22"/>
                <w:lang w:val="en-GB"/>
              </w:rPr>
              <w:t>Acquisition of the chemical bases of the processes that determine the production and quality assurance of foods and raw materials, their scientific foundation, and the understanding of the chemical bases. Developing skills to accommodate new knowledge.</w:t>
            </w:r>
          </w:p>
          <w:p w:rsidR="00B01DA3" w:rsidRPr="004B40E4" w:rsidRDefault="00B01DA3" w:rsidP="00CD0962">
            <w:pPr>
              <w:spacing w:before="60"/>
              <w:rPr>
                <w:rFonts w:ascii="Arial" w:hAnsi="Arial" w:cs="Arial"/>
                <w:sz w:val="22"/>
                <w:szCs w:val="22"/>
                <w:lang w:val="en-GB"/>
              </w:rPr>
            </w:pPr>
            <w:r w:rsidRPr="004B40E4">
              <w:rPr>
                <w:rFonts w:ascii="Arial" w:hAnsi="Arial" w:cs="Arial"/>
                <w:sz w:val="22"/>
                <w:szCs w:val="22"/>
                <w:lang w:val="en-GB"/>
              </w:rPr>
              <w:t>Education of selected general and inorganic chemical knowledge, grounding of chemical studies, and the foundation of related</w:t>
            </w:r>
            <w:r>
              <w:rPr>
                <w:rFonts w:ascii="Arial" w:hAnsi="Arial" w:cs="Arial"/>
                <w:sz w:val="22"/>
                <w:szCs w:val="22"/>
                <w:lang w:val="en-GB"/>
              </w:rPr>
              <w:t xml:space="preserve"> primer and subject areas. </w:t>
            </w:r>
          </w:p>
          <w:p w:rsidR="00B01DA3" w:rsidRPr="004B40E4" w:rsidRDefault="00B01DA3" w:rsidP="00CD0962">
            <w:pPr>
              <w:ind w:left="34"/>
              <w:rPr>
                <w:rFonts w:ascii="Arial" w:hAnsi="Arial" w:cs="Arial"/>
                <w:sz w:val="22"/>
                <w:szCs w:val="22"/>
                <w:lang w:val="en-GB"/>
              </w:rPr>
            </w:pP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1st week: Content of subject “Nutritional Sciences”, organs and their functions of the gastrointestinal tract</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2nd week: Nutritional assessment and dietary planning. Dietary Reference Intakes (DRIs), Estimated Average Requirements (EARs), Recommended Dietary Allowances (RDAs), Adequate Intake (AI), Tolerable Upper Intake Levels (ULs), Safe Maximal Intakes, Energy Intake</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 xml:space="preserve">3rd week: Chemical, biological and physiological aspects of nutrition. Acid-base equilibrium, passive and active transports, </w:t>
            </w:r>
            <w:proofErr w:type="spellStart"/>
            <w:r w:rsidRPr="004B40E4">
              <w:rPr>
                <w:rFonts w:ascii="Arial" w:hAnsi="Arial" w:cs="Arial"/>
                <w:sz w:val="22"/>
                <w:szCs w:val="22"/>
                <w:lang w:val="en-GB"/>
              </w:rPr>
              <w:t>HCl</w:t>
            </w:r>
            <w:proofErr w:type="spellEnd"/>
            <w:r w:rsidRPr="004B40E4">
              <w:rPr>
                <w:rFonts w:ascii="Arial" w:hAnsi="Arial" w:cs="Arial"/>
                <w:sz w:val="22"/>
                <w:szCs w:val="22"/>
                <w:lang w:val="en-GB"/>
              </w:rPr>
              <w:t xml:space="preserve"> synthesis in the stomach wall cells</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4th week: Bio-catalysers. Role and structure of enzymes. Factors influencing enzyme activity: activators, inhibitors and destructors, temperature, pH-values, enzyme and substrate concentrations</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5th week: Carbohydrates: structure and role of mono-, di- and oligosaccharides; functions of polysaccharides of plants and animals/human beings</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6th week: Structure of protein building amino acids. Definition of non-essential, essential and conditionally essential amino acids. Amid and peptide bonds. Protein structures and shapes, way of protein synthesis and hydrolysis. Complete and incomplete proteins, protein complementation, protein quality</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7th week: Structure and functions of gastro-internal hormones. Lipoids and lipids. Neutral lipids and phospholipids. Biosynthesis and metabolism of fatty acids and lipids. Essential and conditionally essential fatty acids, omega-3 fatty acids</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8th week: Energy metabolism. Synthesis of ATP molecules: Reactions and energetic results of citric acid cycle (</w:t>
            </w:r>
            <w:proofErr w:type="spellStart"/>
            <w:r w:rsidRPr="004B40E4">
              <w:rPr>
                <w:rFonts w:ascii="Arial" w:hAnsi="Arial" w:cs="Arial"/>
                <w:sz w:val="22"/>
                <w:szCs w:val="22"/>
                <w:lang w:val="en-GB"/>
              </w:rPr>
              <w:t>Szent-Györgyi</w:t>
            </w:r>
            <w:proofErr w:type="spellEnd"/>
            <w:r w:rsidRPr="004B40E4">
              <w:rPr>
                <w:rFonts w:ascii="Arial" w:hAnsi="Arial" w:cs="Arial"/>
                <w:sz w:val="22"/>
                <w:szCs w:val="22"/>
                <w:lang w:val="en-GB"/>
              </w:rPr>
              <w:t> - Krebs cycle) and the sequential oxidative phosphorylation processes</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9th week: Energy balances and body weight regulation. Basal metabolic rate (BMR), basal energy expenditure (BEE), resting metabolic rate (RMR), resting energy expenditure (REE), standard metabolic rate (SMR)</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 xml:space="preserve">10th week: Fat soluble vitamins (The “DEKA” vitamins) – their structure, chemical composition, physiological role, symptoms of hypo- and </w:t>
            </w:r>
            <w:proofErr w:type="spellStart"/>
            <w:r w:rsidRPr="004B40E4">
              <w:rPr>
                <w:rFonts w:ascii="Arial" w:hAnsi="Arial" w:cs="Arial"/>
                <w:sz w:val="22"/>
                <w:szCs w:val="22"/>
                <w:lang w:val="en-GB"/>
              </w:rPr>
              <w:t>avitaminosis</w:t>
            </w:r>
            <w:proofErr w:type="spellEnd"/>
            <w:r w:rsidRPr="004B40E4">
              <w:rPr>
                <w:rFonts w:ascii="Arial" w:hAnsi="Arial" w:cs="Arial"/>
                <w:sz w:val="22"/>
                <w:szCs w:val="22"/>
                <w:lang w:val="en-GB"/>
              </w:rPr>
              <w:t xml:space="preserve">, reason and </w:t>
            </w:r>
            <w:r w:rsidRPr="004B40E4">
              <w:rPr>
                <w:rFonts w:ascii="Arial" w:hAnsi="Arial" w:cs="Arial"/>
                <w:sz w:val="22"/>
                <w:szCs w:val="22"/>
                <w:lang w:val="en-GB"/>
              </w:rPr>
              <w:lastRenderedPageBreak/>
              <w:t xml:space="preserve">symptoms of </w:t>
            </w:r>
            <w:proofErr w:type="spellStart"/>
            <w:r w:rsidRPr="004B40E4">
              <w:rPr>
                <w:rFonts w:ascii="Arial" w:hAnsi="Arial" w:cs="Arial"/>
                <w:sz w:val="22"/>
                <w:szCs w:val="22"/>
                <w:lang w:val="en-GB"/>
              </w:rPr>
              <w:t>hypervitaminosis</w:t>
            </w:r>
            <w:proofErr w:type="spellEnd"/>
            <w:r w:rsidRPr="004B40E4">
              <w:rPr>
                <w:rFonts w:ascii="Arial" w:hAnsi="Arial" w:cs="Arial"/>
                <w:sz w:val="22"/>
                <w:szCs w:val="22"/>
                <w:lang w:val="en-GB"/>
              </w:rPr>
              <w:t>. Night blindness, rickets. Natural sources of A-, D-, E- and K-vitamins</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 xml:space="preserve">11th week: Water soluble vitamins – their structure, chemical composition, physiological role, symptoms of hypo- and </w:t>
            </w:r>
            <w:proofErr w:type="spellStart"/>
            <w:r w:rsidRPr="004B40E4">
              <w:rPr>
                <w:rFonts w:ascii="Arial" w:hAnsi="Arial" w:cs="Arial"/>
                <w:sz w:val="22"/>
                <w:szCs w:val="22"/>
                <w:lang w:val="en-GB"/>
              </w:rPr>
              <w:t>avitaminosis</w:t>
            </w:r>
            <w:proofErr w:type="spellEnd"/>
            <w:r w:rsidRPr="004B40E4">
              <w:rPr>
                <w:rFonts w:ascii="Arial" w:hAnsi="Arial" w:cs="Arial"/>
                <w:sz w:val="22"/>
                <w:szCs w:val="22"/>
                <w:lang w:val="en-GB"/>
              </w:rPr>
              <w:t>. RDA values</w:t>
            </w:r>
          </w:p>
          <w:p w:rsidR="00B01DA3" w:rsidRPr="004B40E4" w:rsidRDefault="00B01DA3" w:rsidP="00CD0962">
            <w:pPr>
              <w:keepLines/>
              <w:ind w:left="346" w:hanging="346"/>
              <w:jc w:val="both"/>
              <w:rPr>
                <w:rFonts w:ascii="Arial" w:hAnsi="Arial" w:cs="Arial"/>
                <w:sz w:val="22"/>
                <w:szCs w:val="22"/>
                <w:lang w:val="en-GB"/>
              </w:rPr>
            </w:pPr>
            <w:r w:rsidRPr="004B40E4">
              <w:rPr>
                <w:rFonts w:ascii="Arial" w:hAnsi="Arial" w:cs="Arial"/>
                <w:sz w:val="22"/>
                <w:szCs w:val="22"/>
                <w:lang w:val="en-GB"/>
              </w:rPr>
              <w:t xml:space="preserve">12th week: The major mineral nutrient elements of foods – C, O, H, N, P, K, Ca, Mg, S, Na. Sources and role of the </w:t>
            </w:r>
            <w:proofErr w:type="spellStart"/>
            <w:r w:rsidRPr="004B40E4">
              <w:rPr>
                <w:rFonts w:ascii="Arial" w:hAnsi="Arial" w:cs="Arial"/>
                <w:sz w:val="22"/>
                <w:szCs w:val="22"/>
                <w:lang w:val="en-GB"/>
              </w:rPr>
              <w:t>macroelements</w:t>
            </w:r>
            <w:proofErr w:type="spellEnd"/>
            <w:r w:rsidRPr="004B40E4">
              <w:rPr>
                <w:rFonts w:ascii="Arial" w:hAnsi="Arial" w:cs="Arial"/>
                <w:sz w:val="22"/>
                <w:szCs w:val="22"/>
                <w:lang w:val="en-GB"/>
              </w:rPr>
              <w:t>. Main function of water in the human body. Aging and water content of human body</w:t>
            </w:r>
          </w:p>
          <w:p w:rsidR="00B01DA3" w:rsidRPr="004B40E4" w:rsidRDefault="00B01DA3" w:rsidP="00CD0962">
            <w:pPr>
              <w:ind w:left="346" w:hanging="346"/>
              <w:jc w:val="both"/>
              <w:rPr>
                <w:rFonts w:ascii="Arial" w:hAnsi="Arial" w:cs="Arial"/>
                <w:sz w:val="22"/>
                <w:szCs w:val="22"/>
                <w:lang w:val="en-GB"/>
              </w:rPr>
            </w:pPr>
            <w:r w:rsidRPr="004B40E4">
              <w:rPr>
                <w:rFonts w:ascii="Arial" w:hAnsi="Arial" w:cs="Arial"/>
                <w:sz w:val="22"/>
                <w:szCs w:val="22"/>
                <w:lang w:val="en-GB"/>
              </w:rPr>
              <w:t xml:space="preserve">13th week: The minor mineral nutrient elements of foods – Fe, </w:t>
            </w:r>
            <w:proofErr w:type="spellStart"/>
            <w:r w:rsidRPr="004B40E4">
              <w:rPr>
                <w:rFonts w:ascii="Arial" w:hAnsi="Arial" w:cs="Arial"/>
                <w:sz w:val="22"/>
                <w:szCs w:val="22"/>
                <w:lang w:val="en-GB"/>
              </w:rPr>
              <w:t>Mn</w:t>
            </w:r>
            <w:proofErr w:type="spellEnd"/>
            <w:r w:rsidRPr="004B40E4">
              <w:rPr>
                <w:rFonts w:ascii="Arial" w:hAnsi="Arial" w:cs="Arial"/>
                <w:sz w:val="22"/>
                <w:szCs w:val="22"/>
                <w:lang w:val="en-GB"/>
              </w:rPr>
              <w:t>, Zn, Se, Ni, Cr, I, F. Sources and role of the microelements. Water hardness: definition, sources, determination methods, optimum physiological level, water softening methods</w:t>
            </w:r>
          </w:p>
          <w:p w:rsidR="00B01DA3" w:rsidRPr="004B40E4" w:rsidRDefault="00B01DA3" w:rsidP="00CD0962">
            <w:pPr>
              <w:ind w:left="346" w:hanging="346"/>
              <w:rPr>
                <w:rFonts w:ascii="Arial" w:hAnsi="Arial" w:cs="Arial"/>
                <w:sz w:val="22"/>
                <w:szCs w:val="22"/>
                <w:lang w:val="en-GB"/>
              </w:rPr>
            </w:pPr>
            <w:r w:rsidRPr="004B40E4">
              <w:rPr>
                <w:rFonts w:ascii="Arial" w:hAnsi="Arial" w:cs="Arial"/>
                <w:sz w:val="22"/>
                <w:szCs w:val="22"/>
                <w:lang w:val="en-GB"/>
              </w:rPr>
              <w:t>14th week: Human life cycle nutrition; babies, young children, teenagers, adult persons and seniors. Functional nutrition – definition, importance, possibilities</w:t>
            </w:r>
          </w:p>
        </w:tc>
      </w:tr>
      <w:tr w:rsidR="00B01DA3" w:rsidRPr="004B40E4" w:rsidTr="00CD0962">
        <w:tc>
          <w:tcPr>
            <w:tcW w:w="9356" w:type="dxa"/>
            <w:tcBorders>
              <w:top w:val="dotted" w:sz="4" w:space="0" w:color="auto"/>
              <w:bottom w:val="dotted" w:sz="4" w:space="0" w:color="auto"/>
            </w:tcBorders>
            <w:shd w:val="clear" w:color="auto" w:fill="FFF2CC"/>
            <w:tcMar>
              <w:top w:w="57" w:type="dxa"/>
              <w:bottom w:w="57" w:type="dxa"/>
            </w:tcMar>
            <w:vAlign w:val="center"/>
          </w:tcPr>
          <w:p w:rsidR="00B01DA3" w:rsidRPr="004B40E4" w:rsidRDefault="00B01DA3" w:rsidP="00CD0962">
            <w:pPr>
              <w:ind w:left="34"/>
              <w:rPr>
                <w:rFonts w:ascii="Arial" w:hAnsi="Arial" w:cs="Arial"/>
                <w:b/>
                <w:i/>
                <w:sz w:val="22"/>
                <w:szCs w:val="22"/>
                <w:lang w:val="en-US"/>
              </w:rPr>
            </w:pPr>
            <w:r w:rsidRPr="004B40E4">
              <w:rPr>
                <w:rFonts w:ascii="Arial" w:hAnsi="Arial" w:cs="Arial"/>
                <w:b/>
                <w:i/>
                <w:sz w:val="22"/>
                <w:szCs w:val="22"/>
                <w:lang w:val="en-US"/>
              </w:rPr>
              <w:lastRenderedPageBreak/>
              <w:t>Compulsory literature:</w:t>
            </w:r>
          </w:p>
          <w:p w:rsidR="00B01DA3" w:rsidRPr="004B40E4" w:rsidRDefault="00B01DA3" w:rsidP="00CD0962">
            <w:pPr>
              <w:rPr>
                <w:rFonts w:ascii="Arial" w:hAnsi="Arial" w:cs="Arial"/>
                <w:sz w:val="22"/>
                <w:szCs w:val="22"/>
                <w:lang w:val="en-US"/>
              </w:rPr>
            </w:pPr>
            <w:r w:rsidRPr="004B40E4">
              <w:rPr>
                <w:rFonts w:ascii="Arial" w:hAnsi="Arial" w:cs="Arial"/>
                <w:sz w:val="22"/>
                <w:szCs w:val="22"/>
                <w:lang w:val="en-US"/>
              </w:rPr>
              <w:t xml:space="preserve">McGuire, M. – </w:t>
            </w:r>
            <w:proofErr w:type="spellStart"/>
            <w:r w:rsidRPr="004B40E4">
              <w:rPr>
                <w:rFonts w:ascii="Arial" w:hAnsi="Arial" w:cs="Arial"/>
                <w:sz w:val="22"/>
                <w:szCs w:val="22"/>
                <w:lang w:val="en-US"/>
              </w:rPr>
              <w:t>Beerman</w:t>
            </w:r>
            <w:proofErr w:type="spellEnd"/>
            <w:r w:rsidRPr="004B40E4">
              <w:rPr>
                <w:rFonts w:ascii="Arial" w:hAnsi="Arial" w:cs="Arial"/>
                <w:sz w:val="22"/>
                <w:szCs w:val="22"/>
                <w:lang w:val="en-US"/>
              </w:rPr>
              <w:t>, K. A. (2013):</w:t>
            </w:r>
            <w:r w:rsidRPr="004B40E4">
              <w:rPr>
                <w:rFonts w:ascii="Arial" w:hAnsi="Arial" w:cs="Arial"/>
                <w:sz w:val="22"/>
                <w:szCs w:val="22"/>
              </w:rPr>
              <w:t xml:space="preserve"> </w:t>
            </w:r>
            <w:r w:rsidRPr="004B40E4">
              <w:rPr>
                <w:rFonts w:ascii="Arial" w:hAnsi="Arial" w:cs="Arial"/>
                <w:sz w:val="22"/>
                <w:szCs w:val="22"/>
                <w:lang w:val="en-US"/>
              </w:rPr>
              <w:t>Nutritional Sciences – From Fundamentals to food. Wadsworth Cengage Learning, Australia • Brazil • Japan • Korea • Mexico • Singapore • Spain • United Kingdom • United States. ISBN-13: 978-0-8400-5820-1</w:t>
            </w:r>
          </w:p>
          <w:p w:rsidR="00B01DA3" w:rsidRPr="004B40E4" w:rsidRDefault="00B01DA3" w:rsidP="00CD0962">
            <w:pPr>
              <w:rPr>
                <w:rFonts w:ascii="Arial" w:hAnsi="Arial" w:cs="Arial"/>
                <w:b/>
                <w:i/>
                <w:sz w:val="22"/>
                <w:szCs w:val="22"/>
                <w:lang w:val="en-US"/>
              </w:rPr>
            </w:pPr>
          </w:p>
          <w:p w:rsidR="00B01DA3" w:rsidRPr="004B40E4" w:rsidRDefault="00B01DA3" w:rsidP="00CD0962">
            <w:pPr>
              <w:rPr>
                <w:rFonts w:ascii="Arial" w:hAnsi="Arial" w:cs="Arial"/>
                <w:b/>
                <w:i/>
                <w:sz w:val="22"/>
                <w:szCs w:val="22"/>
                <w:lang w:val="en-US"/>
              </w:rPr>
            </w:pPr>
            <w:r w:rsidRPr="004B40E4">
              <w:rPr>
                <w:rFonts w:ascii="Arial" w:hAnsi="Arial" w:cs="Arial"/>
                <w:b/>
                <w:i/>
                <w:sz w:val="22"/>
                <w:szCs w:val="22"/>
                <w:lang w:val="en-US"/>
              </w:rPr>
              <w:t>Optional literature:</w:t>
            </w:r>
          </w:p>
          <w:p w:rsidR="00B01DA3" w:rsidRPr="004B40E4" w:rsidRDefault="00B01DA3" w:rsidP="00CD0962">
            <w:pPr>
              <w:rPr>
                <w:rFonts w:ascii="Arial" w:hAnsi="Arial" w:cs="Arial"/>
                <w:sz w:val="22"/>
                <w:szCs w:val="22"/>
                <w:lang w:val="en-US"/>
              </w:rPr>
            </w:pPr>
            <w:r w:rsidRPr="004B40E4">
              <w:rPr>
                <w:rFonts w:ascii="Arial" w:hAnsi="Arial" w:cs="Arial"/>
                <w:sz w:val="22"/>
                <w:szCs w:val="22"/>
                <w:lang w:val="en-US"/>
              </w:rPr>
              <w:t>Ross, A.C. – Caballero, B. – Cousins, R.J. – Tucker, K.L. – Ziegler, T.R. (2014): Modern Nutrition in Health and Disease. Wolters Kluwer Health/Lippincott Williams &amp; Wilkins, Philadelphia, USA. ISBN-13: 978-1605474618</w:t>
            </w:r>
          </w:p>
        </w:tc>
      </w:tr>
      <w:tr w:rsidR="00B01DA3" w:rsidRPr="004B40E4" w:rsidTr="00CD0962">
        <w:tc>
          <w:tcPr>
            <w:tcW w:w="9356" w:type="dxa"/>
            <w:tcBorders>
              <w:bottom w:val="dotted" w:sz="4" w:space="0" w:color="auto"/>
            </w:tcBorders>
            <w:tcMar>
              <w:top w:w="57" w:type="dxa"/>
              <w:bottom w:w="57" w:type="dxa"/>
            </w:tcMar>
            <w:vAlign w:val="center"/>
          </w:tcPr>
          <w:p w:rsidR="00B01DA3" w:rsidRPr="004B40E4" w:rsidRDefault="00B01DA3" w:rsidP="00CD0962">
            <w:pPr>
              <w:jc w:val="both"/>
              <w:rPr>
                <w:rFonts w:ascii="Arial" w:hAnsi="Arial" w:cs="Arial"/>
                <w:sz w:val="22"/>
                <w:szCs w:val="22"/>
              </w:rPr>
            </w:pPr>
            <w:proofErr w:type="spellStart"/>
            <w:r w:rsidRPr="004B40E4">
              <w:rPr>
                <w:rFonts w:ascii="Arial" w:hAnsi="Arial" w:cs="Arial"/>
                <w:b/>
                <w:sz w:val="22"/>
                <w:szCs w:val="22"/>
              </w:rPr>
              <w:t>Competencies</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gained</w:t>
            </w:r>
            <w:proofErr w:type="spellEnd"/>
            <w:r w:rsidRPr="004B40E4">
              <w:rPr>
                <w:rFonts w:ascii="Arial" w:hAnsi="Arial" w:cs="Arial"/>
                <w:b/>
                <w:sz w:val="22"/>
                <w:szCs w:val="22"/>
              </w:rPr>
              <w:t xml:space="preserve"> </w:t>
            </w:r>
            <w:r w:rsidRPr="004B40E4">
              <w:rPr>
                <w:rFonts w:ascii="Arial" w:hAnsi="Arial" w:cs="Arial"/>
                <w:i/>
                <w:sz w:val="22"/>
                <w:szCs w:val="22"/>
              </w:rPr>
              <w:t>(</w:t>
            </w:r>
            <w:proofErr w:type="spellStart"/>
            <w:r w:rsidRPr="004B40E4">
              <w:rPr>
                <w:rFonts w:ascii="Arial" w:hAnsi="Arial" w:cs="Arial"/>
                <w:i/>
                <w:sz w:val="22"/>
                <w:szCs w:val="22"/>
              </w:rPr>
              <w:t>acc</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to</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the</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Regulation</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on</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training</w:t>
            </w:r>
            <w:proofErr w:type="spellEnd"/>
            <w:r w:rsidRPr="004B40E4">
              <w:rPr>
                <w:rFonts w:ascii="Arial" w:hAnsi="Arial" w:cs="Arial"/>
                <w:i/>
                <w:sz w:val="22"/>
                <w:szCs w:val="22"/>
              </w:rPr>
              <w:t xml:space="preserve"> and </w:t>
            </w:r>
            <w:proofErr w:type="spellStart"/>
            <w:r w:rsidRPr="004B40E4">
              <w:rPr>
                <w:rFonts w:ascii="Arial" w:hAnsi="Arial" w:cs="Arial"/>
                <w:i/>
                <w:sz w:val="22"/>
                <w:szCs w:val="22"/>
              </w:rPr>
              <w:t>outcome</w:t>
            </w:r>
            <w:proofErr w:type="spellEnd"/>
            <w:r w:rsidRPr="004B40E4">
              <w:rPr>
                <w:rFonts w:ascii="Arial" w:hAnsi="Arial" w:cs="Arial"/>
                <w:i/>
                <w:sz w:val="22"/>
                <w:szCs w:val="22"/>
              </w:rPr>
              <w:t xml:space="preserve"> </w:t>
            </w:r>
            <w:proofErr w:type="spellStart"/>
            <w:r w:rsidRPr="004B40E4">
              <w:rPr>
                <w:rFonts w:ascii="Arial" w:hAnsi="Arial" w:cs="Arial"/>
                <w:i/>
                <w:iCs/>
                <w:sz w:val="22"/>
                <w:szCs w:val="22"/>
              </w:rPr>
              <w:t>requirements</w:t>
            </w:r>
            <w:proofErr w:type="spellEnd"/>
            <w:r w:rsidRPr="004B40E4">
              <w:rPr>
                <w:rFonts w:ascii="Arial" w:hAnsi="Arial" w:cs="Arial"/>
                <w:i/>
                <w:iCs/>
                <w:sz w:val="22"/>
                <w:szCs w:val="22"/>
              </w:rPr>
              <w:t>)</w:t>
            </w:r>
          </w:p>
        </w:tc>
      </w:tr>
      <w:tr w:rsidR="00B01DA3" w:rsidRPr="004B40E4" w:rsidTr="00CD0962">
        <w:trPr>
          <w:trHeight w:val="296"/>
        </w:trPr>
        <w:tc>
          <w:tcPr>
            <w:tcW w:w="9356" w:type="dxa"/>
            <w:tcBorders>
              <w:top w:val="dotted" w:sz="4" w:space="0" w:color="auto"/>
            </w:tcBorders>
            <w:shd w:val="clear" w:color="auto" w:fill="FFF2CC"/>
            <w:tcMar>
              <w:top w:w="57" w:type="dxa"/>
              <w:bottom w:w="57" w:type="dxa"/>
            </w:tcMar>
          </w:tcPr>
          <w:p w:rsidR="00B01DA3" w:rsidRPr="004B40E4" w:rsidRDefault="00B01DA3" w:rsidP="00B01DA3">
            <w:pPr>
              <w:widowControl/>
              <w:numPr>
                <w:ilvl w:val="0"/>
                <w:numId w:val="14"/>
              </w:numPr>
              <w:tabs>
                <w:tab w:val="left" w:pos="317"/>
              </w:tabs>
              <w:autoSpaceDN/>
              <w:jc w:val="both"/>
              <w:textAlignment w:val="auto"/>
              <w:rPr>
                <w:rFonts w:ascii="Arial" w:hAnsi="Arial" w:cs="Arial"/>
                <w:b/>
                <w:sz w:val="22"/>
                <w:szCs w:val="22"/>
                <w:lang w:val="en-US"/>
              </w:rPr>
            </w:pPr>
            <w:r w:rsidRPr="004B40E4">
              <w:rPr>
                <w:rFonts w:ascii="Arial" w:hAnsi="Arial" w:cs="Arial"/>
                <w:b/>
                <w:sz w:val="22"/>
                <w:szCs w:val="22"/>
                <w:lang w:val="en-US"/>
              </w:rPr>
              <w:t>Knowledge</w:t>
            </w:r>
          </w:p>
          <w:p w:rsidR="00B01DA3" w:rsidRPr="004B40E4" w:rsidRDefault="00B01DA3" w:rsidP="00CD0962">
            <w:pPr>
              <w:tabs>
                <w:tab w:val="left" w:pos="317"/>
              </w:tabs>
              <w:ind w:left="176"/>
              <w:jc w:val="both"/>
              <w:rPr>
                <w:rFonts w:ascii="Arial" w:hAnsi="Arial" w:cs="Arial"/>
                <w:sz w:val="22"/>
                <w:szCs w:val="22"/>
                <w:lang w:val="en-US"/>
              </w:rPr>
            </w:pPr>
            <w:r w:rsidRPr="004B40E4">
              <w:rPr>
                <w:rFonts w:ascii="Arial" w:hAnsi="Arial" w:cs="Arial"/>
                <w:sz w:val="22"/>
                <w:szCs w:val="22"/>
                <w:lang w:val="en-US"/>
              </w:rPr>
              <w:t>Students learn about the general and specific characteristics of Nutritional Sciences, their boundaries, their directions of development, and their attachment to related subjects.</w:t>
            </w:r>
          </w:p>
          <w:p w:rsidR="00B01DA3" w:rsidRPr="004B40E4" w:rsidRDefault="00B01DA3" w:rsidP="00B01DA3">
            <w:pPr>
              <w:widowControl/>
              <w:numPr>
                <w:ilvl w:val="0"/>
                <w:numId w:val="14"/>
              </w:numPr>
              <w:tabs>
                <w:tab w:val="left" w:pos="317"/>
              </w:tabs>
              <w:autoSpaceDN/>
              <w:ind w:left="176" w:hanging="142"/>
              <w:jc w:val="both"/>
              <w:textAlignment w:val="auto"/>
              <w:rPr>
                <w:rFonts w:ascii="Arial" w:hAnsi="Arial" w:cs="Arial"/>
                <w:b/>
                <w:sz w:val="22"/>
                <w:szCs w:val="22"/>
                <w:lang w:val="en-US"/>
              </w:rPr>
            </w:pPr>
            <w:r w:rsidRPr="004B40E4">
              <w:rPr>
                <w:rFonts w:ascii="Arial" w:hAnsi="Arial" w:cs="Arial"/>
                <w:b/>
                <w:sz w:val="22"/>
                <w:szCs w:val="22"/>
                <w:lang w:val="en-US"/>
              </w:rPr>
              <w:t>Ability</w:t>
            </w:r>
          </w:p>
          <w:p w:rsidR="00B01DA3" w:rsidRPr="004B40E4" w:rsidRDefault="00B01DA3" w:rsidP="00CD0962">
            <w:pPr>
              <w:tabs>
                <w:tab w:val="left" w:pos="317"/>
              </w:tabs>
              <w:ind w:left="176"/>
              <w:jc w:val="both"/>
              <w:rPr>
                <w:rFonts w:ascii="Arial" w:hAnsi="Arial" w:cs="Arial"/>
                <w:sz w:val="22"/>
                <w:szCs w:val="22"/>
                <w:lang w:val="en-US"/>
              </w:rPr>
            </w:pPr>
            <w:r w:rsidRPr="004B40E4">
              <w:rPr>
                <w:rFonts w:ascii="Arial" w:hAnsi="Arial" w:cs="Arial"/>
                <w:sz w:val="22"/>
                <w:szCs w:val="22"/>
                <w:lang w:val="en-US"/>
              </w:rPr>
              <w:t>Theoretical aspects of Nutritional Sciences and related terminologies can be used in innovative ways to solve the actual problems.</w:t>
            </w:r>
          </w:p>
          <w:p w:rsidR="00B01DA3" w:rsidRPr="004B40E4" w:rsidRDefault="00B01DA3" w:rsidP="00B01DA3">
            <w:pPr>
              <w:widowControl/>
              <w:numPr>
                <w:ilvl w:val="0"/>
                <w:numId w:val="14"/>
              </w:numPr>
              <w:tabs>
                <w:tab w:val="left" w:pos="317"/>
              </w:tabs>
              <w:autoSpaceDN/>
              <w:ind w:left="176" w:hanging="142"/>
              <w:jc w:val="both"/>
              <w:textAlignment w:val="auto"/>
              <w:rPr>
                <w:rFonts w:ascii="Arial" w:hAnsi="Arial" w:cs="Arial"/>
                <w:b/>
                <w:sz w:val="22"/>
                <w:szCs w:val="22"/>
                <w:lang w:val="en-US"/>
              </w:rPr>
            </w:pPr>
            <w:r w:rsidRPr="004B40E4">
              <w:rPr>
                <w:rFonts w:ascii="Arial" w:hAnsi="Arial" w:cs="Arial"/>
                <w:b/>
                <w:sz w:val="22"/>
                <w:szCs w:val="22"/>
                <w:lang w:val="en-US"/>
              </w:rPr>
              <w:t>Attitude:</w:t>
            </w:r>
          </w:p>
          <w:p w:rsidR="00B01DA3" w:rsidRPr="004B40E4" w:rsidRDefault="00B01DA3" w:rsidP="00CD0962">
            <w:pPr>
              <w:ind w:left="176"/>
              <w:jc w:val="both"/>
              <w:rPr>
                <w:rFonts w:ascii="Arial" w:hAnsi="Arial" w:cs="Arial"/>
                <w:sz w:val="22"/>
                <w:szCs w:val="22"/>
                <w:lang w:val="en-US"/>
              </w:rPr>
            </w:pPr>
            <w:r w:rsidRPr="004B40E4">
              <w:rPr>
                <w:rFonts w:ascii="Arial" w:hAnsi="Arial" w:cs="Arial"/>
                <w:sz w:val="22"/>
                <w:szCs w:val="22"/>
                <w:lang w:val="en-US"/>
              </w:rPr>
              <w:t>Student has a strong professional identity and professionalism that she/he can take for professional and wider social community.</w:t>
            </w:r>
          </w:p>
          <w:p w:rsidR="00B01DA3" w:rsidRPr="004B40E4" w:rsidRDefault="00B01DA3" w:rsidP="00B01DA3">
            <w:pPr>
              <w:widowControl/>
              <w:numPr>
                <w:ilvl w:val="0"/>
                <w:numId w:val="14"/>
              </w:numPr>
              <w:tabs>
                <w:tab w:val="left" w:pos="317"/>
              </w:tabs>
              <w:autoSpaceDN/>
              <w:jc w:val="both"/>
              <w:textAlignment w:val="auto"/>
              <w:rPr>
                <w:rFonts w:ascii="Arial" w:hAnsi="Arial" w:cs="Arial"/>
                <w:b/>
                <w:sz w:val="22"/>
                <w:szCs w:val="22"/>
                <w:lang w:val="en-US"/>
              </w:rPr>
            </w:pPr>
            <w:r w:rsidRPr="004B40E4">
              <w:rPr>
                <w:rFonts w:ascii="Arial" w:hAnsi="Arial" w:cs="Arial"/>
                <w:b/>
                <w:sz w:val="22"/>
                <w:szCs w:val="22"/>
                <w:lang w:val="en-US"/>
              </w:rPr>
              <w:t>Autonomy and responsibility:</w:t>
            </w:r>
          </w:p>
          <w:p w:rsidR="00B01DA3" w:rsidRPr="004B40E4" w:rsidRDefault="00B01DA3" w:rsidP="00CD0962">
            <w:pPr>
              <w:ind w:left="176"/>
              <w:jc w:val="both"/>
              <w:rPr>
                <w:rFonts w:ascii="Arial" w:hAnsi="Arial" w:cs="Arial"/>
                <w:sz w:val="22"/>
                <w:szCs w:val="22"/>
              </w:rPr>
            </w:pPr>
            <w:r w:rsidRPr="004B40E4">
              <w:rPr>
                <w:rFonts w:ascii="Arial" w:hAnsi="Arial" w:cs="Arial"/>
                <w:sz w:val="22"/>
                <w:szCs w:val="22"/>
                <w:lang w:val="en-US"/>
              </w:rPr>
              <w:t>Student sees the importance of general and special Nutritional Sciences knowledge so that it can formally incorporate into their further university studies and at the end of their studies. Students will be able to autonomously and responsibly use the knowledge acquired in the course of their work in a deliberate manner.</w:t>
            </w:r>
          </w:p>
        </w:tc>
      </w:tr>
    </w:tbl>
    <w:p w:rsidR="00B01DA3" w:rsidRPr="004B40E4" w:rsidRDefault="00B01DA3" w:rsidP="00B01DA3">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01DA3" w:rsidRPr="004B40E4" w:rsidTr="00CD0962">
        <w:trPr>
          <w:trHeight w:val="338"/>
        </w:trPr>
        <w:tc>
          <w:tcPr>
            <w:tcW w:w="9356" w:type="dxa"/>
            <w:tcMar>
              <w:top w:w="57" w:type="dxa"/>
              <w:bottom w:w="57" w:type="dxa"/>
            </w:tcMar>
          </w:tcPr>
          <w:p w:rsidR="00B01DA3" w:rsidRPr="004B40E4" w:rsidRDefault="00B01DA3" w:rsidP="00CD0962">
            <w:pPr>
              <w:spacing w:before="60"/>
              <w:jc w:val="both"/>
              <w:rPr>
                <w:rFonts w:ascii="Arial" w:hAnsi="Arial" w:cs="Arial"/>
                <w:b/>
                <w:sz w:val="22"/>
                <w:szCs w:val="22"/>
                <w:lang w:val="fr-FR"/>
              </w:rPr>
            </w:pPr>
            <w:r w:rsidRPr="004B40E4">
              <w:rPr>
                <w:rFonts w:ascii="Arial" w:hAnsi="Arial" w:cs="Arial"/>
                <w:b/>
                <w:sz w:val="22"/>
                <w:szCs w:val="22"/>
                <w:lang w:val="fr-FR"/>
              </w:rPr>
              <w:t>Responsible lecturer:</w:t>
            </w:r>
          </w:p>
          <w:p w:rsidR="00B01DA3" w:rsidRPr="004B40E4" w:rsidRDefault="00B01DA3" w:rsidP="00CD0962">
            <w:pPr>
              <w:spacing w:before="60"/>
              <w:jc w:val="both"/>
              <w:rPr>
                <w:rFonts w:ascii="Arial" w:hAnsi="Arial" w:cs="Arial"/>
                <w:b/>
                <w:sz w:val="22"/>
                <w:szCs w:val="22"/>
                <w:lang w:val="en-GB"/>
              </w:rPr>
            </w:pPr>
            <w:r w:rsidRPr="004B40E4">
              <w:rPr>
                <w:rFonts w:ascii="Arial" w:hAnsi="Arial" w:cs="Arial"/>
                <w:b/>
                <w:sz w:val="22"/>
                <w:szCs w:val="22"/>
                <w:lang w:val="fr-FR"/>
              </w:rPr>
              <w:t xml:space="preserve">Assoc. Professor </w:t>
            </w:r>
            <w:r w:rsidRPr="004B40E4">
              <w:rPr>
                <w:rFonts w:ascii="Arial" w:hAnsi="Arial" w:cs="Arial"/>
                <w:b/>
                <w:sz w:val="22"/>
                <w:szCs w:val="22"/>
              </w:rPr>
              <w:t xml:space="preserve">Dr. </w:t>
            </w:r>
            <w:proofErr w:type="spellStart"/>
            <w:r w:rsidRPr="004B40E4">
              <w:rPr>
                <w:rFonts w:ascii="Arial" w:hAnsi="Arial" w:cs="Arial"/>
                <w:b/>
                <w:sz w:val="22"/>
                <w:szCs w:val="22"/>
              </w:rPr>
              <w:t>habil</w:t>
            </w:r>
            <w:proofErr w:type="spellEnd"/>
            <w:r w:rsidRPr="004B40E4">
              <w:rPr>
                <w:rFonts w:ascii="Arial" w:hAnsi="Arial" w:cs="Arial"/>
                <w:b/>
                <w:sz w:val="22"/>
                <w:szCs w:val="22"/>
              </w:rPr>
              <w:t xml:space="preserve">. Imre Vágó, </w:t>
            </w:r>
            <w:proofErr w:type="spellStart"/>
            <w:r w:rsidRPr="004B40E4">
              <w:rPr>
                <w:rFonts w:ascii="Arial" w:hAnsi="Arial" w:cs="Arial"/>
                <w:b/>
                <w:sz w:val="22"/>
                <w:szCs w:val="22"/>
              </w:rPr>
              <w:t>CSc</w:t>
            </w:r>
            <w:proofErr w:type="spellEnd"/>
            <w:r w:rsidRPr="004B40E4">
              <w:rPr>
                <w:rFonts w:ascii="Arial" w:hAnsi="Arial" w:cs="Arial"/>
                <w:b/>
                <w:sz w:val="22"/>
                <w:szCs w:val="22"/>
                <w:lang w:val="en-GB"/>
              </w:rPr>
              <w:t>, deputy head of Institute</w:t>
            </w:r>
          </w:p>
        </w:tc>
      </w:tr>
      <w:tr w:rsidR="00B01DA3" w:rsidRPr="004B40E4" w:rsidTr="00CD0962">
        <w:trPr>
          <w:trHeight w:val="337"/>
        </w:trPr>
        <w:tc>
          <w:tcPr>
            <w:tcW w:w="9356" w:type="dxa"/>
            <w:tcMar>
              <w:top w:w="57" w:type="dxa"/>
              <w:bottom w:w="57" w:type="dxa"/>
            </w:tcMar>
          </w:tcPr>
          <w:p w:rsidR="00B01DA3" w:rsidRPr="004B40E4" w:rsidRDefault="00B01DA3" w:rsidP="00CD0962">
            <w:pPr>
              <w:spacing w:before="60"/>
              <w:jc w:val="both"/>
              <w:rPr>
                <w:rFonts w:ascii="Arial" w:hAnsi="Arial" w:cs="Arial"/>
                <w:b/>
                <w:sz w:val="22"/>
                <w:szCs w:val="22"/>
                <w:lang w:val="en-GB"/>
              </w:rPr>
            </w:pPr>
            <w:r w:rsidRPr="004B40E4">
              <w:rPr>
                <w:rFonts w:ascii="Arial" w:hAnsi="Arial" w:cs="Arial"/>
                <w:b/>
                <w:sz w:val="22"/>
                <w:szCs w:val="22"/>
                <w:lang w:val="fr-FR"/>
              </w:rPr>
              <w:t xml:space="preserve">Other lecturer: </w:t>
            </w:r>
            <w:r w:rsidRPr="004B40E4">
              <w:rPr>
                <w:rFonts w:ascii="Arial" w:hAnsi="Arial" w:cs="Arial"/>
                <w:sz w:val="22"/>
                <w:szCs w:val="22"/>
                <w:lang w:val="fr-FR"/>
              </w:rPr>
              <w:t>-</w:t>
            </w:r>
          </w:p>
        </w:tc>
      </w:tr>
      <w:tr w:rsidR="00B01DA3" w:rsidRPr="004B40E4" w:rsidTr="00CD0962">
        <w:trPr>
          <w:trHeight w:val="337"/>
        </w:trPr>
        <w:tc>
          <w:tcPr>
            <w:tcW w:w="9356" w:type="dxa"/>
            <w:tcMar>
              <w:top w:w="57" w:type="dxa"/>
              <w:bottom w:w="57" w:type="dxa"/>
            </w:tcMar>
          </w:tcPr>
          <w:p w:rsidR="00B01DA3" w:rsidRPr="004B40E4" w:rsidRDefault="00B01DA3" w:rsidP="00CD0962">
            <w:pPr>
              <w:spacing w:before="60"/>
              <w:jc w:val="both"/>
              <w:rPr>
                <w:rFonts w:ascii="Arial" w:hAnsi="Arial" w:cs="Arial"/>
                <w:b/>
                <w:sz w:val="22"/>
                <w:szCs w:val="22"/>
                <w:lang w:val="en-GB"/>
              </w:rPr>
            </w:pPr>
            <w:r w:rsidRPr="004B40E4">
              <w:rPr>
                <w:rFonts w:ascii="Arial" w:hAnsi="Arial" w:cs="Arial"/>
                <w:b/>
                <w:sz w:val="22"/>
                <w:szCs w:val="22"/>
                <w:lang w:val="en-GB"/>
              </w:rPr>
              <w:t>Form of examination:</w:t>
            </w:r>
          </w:p>
          <w:p w:rsidR="00B01DA3" w:rsidRPr="004B40E4" w:rsidRDefault="00B01DA3" w:rsidP="00CD0962">
            <w:pPr>
              <w:spacing w:before="60"/>
              <w:jc w:val="both"/>
              <w:rPr>
                <w:rFonts w:ascii="Arial" w:hAnsi="Arial" w:cs="Arial"/>
                <w:b/>
                <w:sz w:val="22"/>
                <w:szCs w:val="22"/>
                <w:lang w:val="en-GB"/>
              </w:rPr>
            </w:pPr>
            <w:r w:rsidRPr="004B40E4">
              <w:rPr>
                <w:rFonts w:ascii="Arial" w:hAnsi="Arial" w:cs="Arial"/>
                <w:b/>
                <w:sz w:val="22"/>
                <w:szCs w:val="22"/>
                <w:lang w:val="en-GB"/>
              </w:rPr>
              <w:t xml:space="preserve">Oral (preferred) and/or written </w:t>
            </w:r>
            <w:r w:rsidRPr="004B40E4">
              <w:rPr>
                <w:rFonts w:ascii="Arial" w:hAnsi="Arial" w:cs="Arial"/>
                <w:sz w:val="22"/>
                <w:szCs w:val="22"/>
                <w:lang w:val="en-GB"/>
              </w:rPr>
              <w:t>(only if the subject is signed)</w:t>
            </w:r>
          </w:p>
        </w:tc>
      </w:tr>
      <w:tr w:rsidR="00B01DA3" w:rsidRPr="004B40E4" w:rsidTr="00CD0962">
        <w:trPr>
          <w:trHeight w:val="337"/>
        </w:trPr>
        <w:tc>
          <w:tcPr>
            <w:tcW w:w="9356" w:type="dxa"/>
            <w:tcMar>
              <w:top w:w="57" w:type="dxa"/>
              <w:bottom w:w="57" w:type="dxa"/>
            </w:tcMar>
          </w:tcPr>
          <w:p w:rsidR="00B01DA3" w:rsidRPr="004B40E4" w:rsidRDefault="00B01DA3" w:rsidP="00CD0962">
            <w:pPr>
              <w:spacing w:before="60"/>
              <w:jc w:val="both"/>
              <w:rPr>
                <w:rFonts w:ascii="Arial" w:hAnsi="Arial" w:cs="Arial"/>
                <w:b/>
                <w:sz w:val="22"/>
                <w:szCs w:val="22"/>
                <w:lang w:val="en-GB"/>
              </w:rPr>
            </w:pPr>
            <w:r w:rsidRPr="004B40E4">
              <w:rPr>
                <w:rFonts w:ascii="Arial" w:hAnsi="Arial" w:cs="Arial"/>
                <w:b/>
                <w:sz w:val="22"/>
                <w:szCs w:val="22"/>
                <w:lang w:val="en-GB"/>
              </w:rPr>
              <w:t>Requirement(s) to get signature:</w:t>
            </w:r>
          </w:p>
          <w:p w:rsidR="00B01DA3" w:rsidRPr="004B40E4" w:rsidRDefault="00B01DA3" w:rsidP="00CD0962">
            <w:pPr>
              <w:ind w:left="176"/>
              <w:jc w:val="both"/>
              <w:rPr>
                <w:rFonts w:ascii="Arial" w:hAnsi="Arial" w:cs="Arial"/>
                <w:sz w:val="22"/>
                <w:szCs w:val="22"/>
                <w:lang w:val="en-GB"/>
              </w:rPr>
            </w:pPr>
            <w:r w:rsidRPr="004B40E4">
              <w:rPr>
                <w:rFonts w:ascii="Arial" w:hAnsi="Arial" w:cs="Arial"/>
                <w:sz w:val="22"/>
                <w:szCs w:val="22"/>
                <w:lang w:val="en-GB"/>
              </w:rPr>
              <w:t>Attendance at lectures is not compulsory, but highly recommended!</w:t>
            </w:r>
          </w:p>
          <w:p w:rsidR="00B01DA3" w:rsidRPr="004B40E4" w:rsidRDefault="00B01DA3" w:rsidP="00CD0962">
            <w:pPr>
              <w:ind w:left="176"/>
              <w:jc w:val="both"/>
              <w:rPr>
                <w:rFonts w:ascii="Arial" w:hAnsi="Arial" w:cs="Arial"/>
                <w:sz w:val="22"/>
                <w:szCs w:val="22"/>
                <w:lang w:val="en-GB"/>
              </w:rPr>
            </w:pPr>
            <w:r w:rsidRPr="004B40E4">
              <w:rPr>
                <w:rFonts w:ascii="Arial" w:hAnsi="Arial" w:cs="Arial"/>
                <w:sz w:val="22"/>
                <w:szCs w:val="22"/>
                <w:lang w:val="en-GB"/>
              </w:rPr>
              <w:t xml:space="preserve">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w:t>
            </w:r>
            <w:r w:rsidRPr="004B40E4">
              <w:rPr>
                <w:rFonts w:ascii="Arial" w:hAnsi="Arial" w:cs="Arial"/>
                <w:sz w:val="22"/>
                <w:szCs w:val="22"/>
                <w:lang w:val="en-GB"/>
              </w:rPr>
              <w:lastRenderedPageBreak/>
              <w:t>repeated. Requirement to get signature is, two accepted .</w:t>
            </w:r>
            <w:proofErr w:type="spellStart"/>
            <w:r w:rsidRPr="004B40E4">
              <w:rPr>
                <w:rFonts w:ascii="Arial" w:hAnsi="Arial" w:cs="Arial"/>
                <w:sz w:val="22"/>
                <w:szCs w:val="22"/>
                <w:lang w:val="en-GB"/>
              </w:rPr>
              <w:t>ppt</w:t>
            </w:r>
            <w:proofErr w:type="spellEnd"/>
            <w:r w:rsidRPr="004B40E4">
              <w:rPr>
                <w:rFonts w:ascii="Arial" w:hAnsi="Arial" w:cs="Arial"/>
                <w:sz w:val="22"/>
                <w:szCs w:val="22"/>
                <w:lang w:val="en-GB"/>
              </w:rPr>
              <w:t>-presentations.</w:t>
            </w:r>
          </w:p>
        </w:tc>
      </w:tr>
    </w:tbl>
    <w:p w:rsidR="00F42A96" w:rsidRPr="00B01DA3" w:rsidRDefault="00F42A96" w:rsidP="00B01DA3"/>
    <w:sectPr w:rsidR="00F42A96" w:rsidRPr="00B01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30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783582B"/>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5728AA"/>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2A303DE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22429C5"/>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4F90A1F"/>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start w:val="1"/>
      <w:numFmt w:val="bullet"/>
      <w:lvlText w:val="o"/>
      <w:lvlJc w:val="left"/>
      <w:pPr>
        <w:ind w:left="3994" w:hanging="360"/>
      </w:pPr>
      <w:rPr>
        <w:rFonts w:ascii="Courier New" w:hAnsi="Courier New" w:cs="Courier New" w:hint="default"/>
      </w:rPr>
    </w:lvl>
    <w:lvl w:ilvl="5" w:tplc="04090005">
      <w:start w:val="1"/>
      <w:numFmt w:val="bullet"/>
      <w:lvlText w:val=""/>
      <w:lvlJc w:val="left"/>
      <w:pPr>
        <w:ind w:left="4714" w:hanging="360"/>
      </w:pPr>
      <w:rPr>
        <w:rFonts w:ascii="Wingdings" w:hAnsi="Wingdings" w:hint="default"/>
      </w:rPr>
    </w:lvl>
    <w:lvl w:ilvl="6" w:tplc="04090001">
      <w:start w:val="1"/>
      <w:numFmt w:val="bullet"/>
      <w:lvlText w:val=""/>
      <w:lvlJc w:val="left"/>
      <w:pPr>
        <w:ind w:left="5434" w:hanging="360"/>
      </w:pPr>
      <w:rPr>
        <w:rFonts w:ascii="Symbol" w:hAnsi="Symbol" w:hint="default"/>
      </w:rPr>
    </w:lvl>
    <w:lvl w:ilvl="7" w:tplc="04090003">
      <w:start w:val="1"/>
      <w:numFmt w:val="bullet"/>
      <w:lvlText w:val="o"/>
      <w:lvlJc w:val="left"/>
      <w:pPr>
        <w:ind w:left="6154" w:hanging="360"/>
      </w:pPr>
      <w:rPr>
        <w:rFonts w:ascii="Courier New" w:hAnsi="Courier New" w:cs="Courier New" w:hint="default"/>
      </w:rPr>
    </w:lvl>
    <w:lvl w:ilvl="8" w:tplc="04090005">
      <w:start w:val="1"/>
      <w:numFmt w:val="bullet"/>
      <w:lvlText w:val=""/>
      <w:lvlJc w:val="left"/>
      <w:pPr>
        <w:ind w:left="6874" w:hanging="360"/>
      </w:pPr>
      <w:rPr>
        <w:rFonts w:ascii="Wingdings" w:hAnsi="Wingdings" w:hint="default"/>
      </w:rPr>
    </w:lvl>
  </w:abstractNum>
  <w:abstractNum w:abstractNumId="12" w15:restartNumberingAfterBreak="0">
    <w:nsid w:val="675C120A"/>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CEF3706"/>
    <w:multiLevelType w:val="hybridMultilevel"/>
    <w:tmpl w:val="C5ACE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1"/>
  </w:num>
  <w:num w:numId="9">
    <w:abstractNumId w:val="6"/>
  </w:num>
  <w:num w:numId="10">
    <w:abstractNumId w:val="11"/>
  </w:num>
  <w:num w:numId="11">
    <w:abstractNumId w:val="4"/>
  </w:num>
  <w:num w:numId="12">
    <w:abstractNumId w:val="3"/>
  </w:num>
  <w:num w:numId="13">
    <w:abstractNumId w:val="9"/>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331602"/>
    <w:rsid w:val="00492D51"/>
    <w:rsid w:val="004B2365"/>
    <w:rsid w:val="004C5D3E"/>
    <w:rsid w:val="005D5B8C"/>
    <w:rsid w:val="00646768"/>
    <w:rsid w:val="006F45EC"/>
    <w:rsid w:val="00800AF8"/>
    <w:rsid w:val="00830832"/>
    <w:rsid w:val="008C72AA"/>
    <w:rsid w:val="00917EE8"/>
    <w:rsid w:val="00B01DA3"/>
    <w:rsid w:val="00D344CA"/>
    <w:rsid w:val="00D77BED"/>
    <w:rsid w:val="00D919D0"/>
    <w:rsid w:val="00DC6898"/>
    <w:rsid w:val="00EC20C1"/>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5163</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2019-08-28T12:42:00Z</dcterms:created>
  <dcterms:modified xsi:type="dcterms:W3CDTF">2019-08-28T12:42:00Z</dcterms:modified>
</cp:coreProperties>
</file>