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2427"/>
      </w:tblGrid>
      <w:tr w:rsidR="008C72AA" w:rsidRPr="004B40E4" w:rsidTr="00CD0962">
        <w:tc>
          <w:tcPr>
            <w:tcW w:w="6804" w:type="dxa"/>
            <w:tcBorders>
              <w:top w:val="single" w:sz="4" w:space="0" w:color="auto"/>
              <w:left w:val="single" w:sz="4" w:space="0" w:color="auto"/>
              <w:right w:val="single" w:sz="4" w:space="0" w:color="auto"/>
            </w:tcBorders>
            <w:shd w:val="clear" w:color="auto" w:fill="auto"/>
            <w:tcMar>
              <w:top w:w="57" w:type="dxa"/>
              <w:bottom w:w="57" w:type="dxa"/>
            </w:tcMar>
          </w:tcPr>
          <w:p w:rsidR="008C72AA" w:rsidRDefault="008C72AA" w:rsidP="00CD0962">
            <w:pPr>
              <w:jc w:val="both"/>
              <w:rPr>
                <w:rFonts w:ascii="Arial" w:hAnsi="Arial" w:cs="Arial"/>
                <w:b/>
                <w:sz w:val="22"/>
                <w:szCs w:val="22"/>
                <w:lang w:val="en-GB"/>
              </w:rPr>
            </w:pPr>
            <w:r w:rsidRPr="004B40E4">
              <w:rPr>
                <w:rFonts w:ascii="Arial" w:hAnsi="Arial" w:cs="Arial"/>
                <w:b/>
                <w:sz w:val="22"/>
                <w:szCs w:val="22"/>
                <w:lang w:val="en-GB"/>
              </w:rPr>
              <w:t>Title</w:t>
            </w:r>
            <w:r w:rsidRPr="004B40E4">
              <w:rPr>
                <w:rFonts w:ascii="Arial" w:hAnsi="Arial" w:cs="Arial"/>
                <w:sz w:val="22"/>
                <w:szCs w:val="22"/>
                <w:lang w:val="en-GB"/>
              </w:rPr>
              <w:t xml:space="preserve"> of the subject:</w:t>
            </w:r>
            <w:r w:rsidRPr="004B40E4">
              <w:rPr>
                <w:rFonts w:ascii="Arial" w:hAnsi="Arial" w:cs="Arial"/>
                <w:b/>
                <w:sz w:val="22"/>
                <w:szCs w:val="22"/>
                <w:lang w:val="en-GB"/>
              </w:rPr>
              <w:t xml:space="preserve"> </w:t>
            </w:r>
          </w:p>
          <w:p w:rsidR="008C72AA" w:rsidRPr="004B40E4" w:rsidRDefault="008C72AA" w:rsidP="00CD0962">
            <w:pPr>
              <w:jc w:val="both"/>
              <w:rPr>
                <w:rFonts w:ascii="Arial" w:hAnsi="Arial" w:cs="Arial"/>
                <w:b/>
                <w:i/>
                <w:sz w:val="22"/>
                <w:szCs w:val="22"/>
                <w:lang w:val="en-GB"/>
              </w:rPr>
            </w:pPr>
            <w:bookmarkStart w:id="0" w:name="_GoBack"/>
            <w:r w:rsidRPr="004B40E4">
              <w:rPr>
                <w:rFonts w:ascii="Arial" w:hAnsi="Arial" w:cs="Arial"/>
                <w:b/>
                <w:sz w:val="22"/>
                <w:szCs w:val="22"/>
                <w:lang w:val="en-GB"/>
              </w:rPr>
              <w:t>Instrumental analytics I. (</w:t>
            </w:r>
            <w:proofErr w:type="spellStart"/>
            <w:r w:rsidRPr="004B40E4">
              <w:rPr>
                <w:rFonts w:ascii="Arial" w:hAnsi="Arial" w:cs="Arial"/>
                <w:b/>
                <w:sz w:val="22"/>
                <w:szCs w:val="22"/>
                <w:lang w:val="en-GB"/>
              </w:rPr>
              <w:t>Spectroscopyc</w:t>
            </w:r>
            <w:proofErr w:type="spellEnd"/>
            <w:r w:rsidRPr="004B40E4">
              <w:rPr>
                <w:rFonts w:ascii="Arial" w:hAnsi="Arial" w:cs="Arial"/>
                <w:b/>
                <w:sz w:val="22"/>
                <w:szCs w:val="22"/>
                <w:lang w:val="en-GB"/>
              </w:rPr>
              <w:t xml:space="preserve"> methods) MTMEL7008</w:t>
            </w:r>
            <w:bookmarkEnd w:id="0"/>
          </w:p>
        </w:tc>
        <w:tc>
          <w:tcPr>
            <w:tcW w:w="2552" w:type="dxa"/>
            <w:tcBorders>
              <w:top w:val="single" w:sz="4" w:space="0" w:color="auto"/>
              <w:left w:val="single"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eastAsia="en-US"/>
              </w:rPr>
              <w:t>ECTS</w:t>
            </w:r>
            <w:r>
              <w:rPr>
                <w:rFonts w:ascii="Arial" w:hAnsi="Arial" w:cs="Arial"/>
                <w:b/>
                <w:sz w:val="22"/>
                <w:szCs w:val="22"/>
                <w:lang w:eastAsia="en-US"/>
              </w:rPr>
              <w:t xml:space="preserve"> </w:t>
            </w:r>
            <w:r w:rsidRPr="004B40E4">
              <w:rPr>
                <w:rFonts w:ascii="Arial" w:hAnsi="Arial" w:cs="Arial"/>
                <w:b/>
                <w:sz w:val="22"/>
                <w:szCs w:val="22"/>
                <w:lang w:eastAsia="en-US"/>
              </w:rPr>
              <w:t xml:space="preserve">Credit </w:t>
            </w:r>
            <w:proofErr w:type="spellStart"/>
            <w:r w:rsidRPr="004B40E4">
              <w:rPr>
                <w:rFonts w:ascii="Arial" w:hAnsi="Arial" w:cs="Arial"/>
                <w:b/>
                <w:sz w:val="22"/>
                <w:szCs w:val="22"/>
                <w:lang w:eastAsia="en-US"/>
              </w:rPr>
              <w:t>Points</w:t>
            </w:r>
            <w:proofErr w:type="spellEnd"/>
            <w:r>
              <w:rPr>
                <w:rFonts w:ascii="Arial" w:hAnsi="Arial" w:cs="Arial"/>
                <w:b/>
                <w:sz w:val="22"/>
                <w:szCs w:val="22"/>
                <w:lang w:eastAsia="en-US"/>
              </w:rPr>
              <w:t>:5</w:t>
            </w:r>
          </w:p>
        </w:tc>
      </w:tr>
      <w:tr w:rsidR="008C72AA"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sz w:val="22"/>
                <w:szCs w:val="22"/>
                <w:lang w:val="en-GB"/>
              </w:rPr>
            </w:pPr>
            <w:r w:rsidRPr="004B40E4">
              <w:rPr>
                <w:rFonts w:ascii="Arial" w:hAnsi="Arial" w:cs="Arial"/>
                <w:b/>
                <w:sz w:val="22"/>
                <w:szCs w:val="22"/>
                <w:lang w:val="en-GB"/>
              </w:rPr>
              <w:t>Type</w:t>
            </w:r>
            <w:r w:rsidRPr="004B40E4">
              <w:rPr>
                <w:rFonts w:ascii="Arial" w:hAnsi="Arial" w:cs="Arial"/>
                <w:sz w:val="22"/>
                <w:szCs w:val="22"/>
                <w:lang w:val="en-GB"/>
              </w:rPr>
              <w:t xml:space="preserve"> of the subject: compulsory</w:t>
            </w:r>
          </w:p>
        </w:tc>
      </w:tr>
      <w:tr w:rsidR="008C72AA"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C72AA" w:rsidRPr="004B40E4" w:rsidRDefault="008C72AA" w:rsidP="00CD0962">
            <w:pPr>
              <w:spacing w:before="40" w:after="40"/>
              <w:jc w:val="both"/>
              <w:rPr>
                <w:rFonts w:ascii="Arial" w:hAnsi="Arial" w:cs="Arial"/>
                <w:sz w:val="22"/>
                <w:szCs w:val="22"/>
                <w:lang w:val="en-GB"/>
              </w:rPr>
            </w:pPr>
            <w:r w:rsidRPr="004B40E4">
              <w:rPr>
                <w:rFonts w:ascii="Arial" w:hAnsi="Arial" w:cs="Arial"/>
                <w:b/>
                <w:sz w:val="22"/>
                <w:szCs w:val="22"/>
                <w:lang w:val="en-GB"/>
              </w:rPr>
              <w:t>Ratio of theory and practice: 50-50%</w:t>
            </w:r>
          </w:p>
        </w:tc>
      </w:tr>
      <w:tr w:rsidR="008C72AA"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8C72AA" w:rsidRDefault="008C72AA" w:rsidP="00CD0962">
            <w:pPr>
              <w:spacing w:before="60"/>
              <w:jc w:val="both"/>
              <w:rPr>
                <w:rFonts w:ascii="Arial" w:hAnsi="Arial" w:cs="Arial"/>
                <w:sz w:val="22"/>
                <w:szCs w:val="22"/>
                <w:lang w:val="en-GB"/>
              </w:rPr>
            </w:pPr>
            <w:r w:rsidRPr="004B40E4">
              <w:rPr>
                <w:rFonts w:ascii="Arial" w:hAnsi="Arial" w:cs="Arial"/>
                <w:b/>
                <w:sz w:val="22"/>
                <w:szCs w:val="22"/>
                <w:lang w:val="en-GB"/>
              </w:rPr>
              <w:t>Type and number of classes per semester</w:t>
            </w:r>
            <w:r>
              <w:rPr>
                <w:rFonts w:ascii="Arial" w:hAnsi="Arial" w:cs="Arial"/>
                <w:sz w:val="22"/>
                <w:szCs w:val="22"/>
                <w:lang w:val="en-GB"/>
              </w:rPr>
              <w:t>: 28</w:t>
            </w:r>
            <w:r w:rsidRPr="004B40E4">
              <w:rPr>
                <w:rFonts w:ascii="Arial" w:hAnsi="Arial" w:cs="Arial"/>
                <w:sz w:val="22"/>
                <w:szCs w:val="22"/>
                <w:lang w:val="en-GB"/>
              </w:rPr>
              <w:t xml:space="preserve"> hour(s) lecture and 2</w:t>
            </w:r>
            <w:r>
              <w:rPr>
                <w:rFonts w:ascii="Arial" w:hAnsi="Arial" w:cs="Arial"/>
                <w:sz w:val="22"/>
                <w:szCs w:val="22"/>
                <w:lang w:val="en-GB"/>
              </w:rPr>
              <w:t>8</w:t>
            </w:r>
            <w:r w:rsidRPr="004B40E4">
              <w:rPr>
                <w:rFonts w:ascii="Arial" w:hAnsi="Arial" w:cs="Arial"/>
                <w:sz w:val="22"/>
                <w:szCs w:val="22"/>
                <w:lang w:val="en-GB"/>
              </w:rPr>
              <w:t xml:space="preserve"> hour(s) practice per </w:t>
            </w:r>
            <w:r w:rsidRPr="004B40E4">
              <w:rPr>
                <w:rFonts w:ascii="Arial" w:hAnsi="Arial" w:cs="Arial"/>
                <w:b/>
                <w:sz w:val="22"/>
                <w:szCs w:val="22"/>
                <w:lang w:val="en-GB"/>
              </w:rPr>
              <w:t>semester</w:t>
            </w:r>
            <w:r w:rsidRPr="004B40E4">
              <w:rPr>
                <w:rFonts w:ascii="Arial" w:hAnsi="Arial" w:cs="Arial"/>
                <w:sz w:val="22"/>
                <w:szCs w:val="22"/>
                <w:lang w:val="en-GB"/>
              </w:rPr>
              <w:t xml:space="preserve"> </w:t>
            </w:r>
          </w:p>
          <w:p w:rsidR="008C72AA" w:rsidRPr="004B40E4" w:rsidRDefault="008C72AA" w:rsidP="00CD0962">
            <w:pPr>
              <w:spacing w:before="60"/>
              <w:jc w:val="both"/>
              <w:rPr>
                <w:rFonts w:ascii="Arial" w:hAnsi="Arial" w:cs="Arial"/>
                <w:sz w:val="22"/>
                <w:szCs w:val="22"/>
                <w:lang w:val="en-GB"/>
              </w:rPr>
            </w:pPr>
            <w:proofErr w:type="spellStart"/>
            <w:r w:rsidRPr="004B40E4">
              <w:rPr>
                <w:rFonts w:ascii="Arial" w:hAnsi="Arial" w:cs="Arial"/>
                <w:sz w:val="22"/>
                <w:szCs w:val="22"/>
                <w:lang w:eastAsia="en-US"/>
              </w:rPr>
              <w:t>Number</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teaching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hours</w:t>
            </w:r>
            <w:proofErr w:type="spellEnd"/>
            <w:r w:rsidRPr="004B40E4">
              <w:rPr>
                <w:rFonts w:ascii="Arial" w:hAnsi="Arial" w:cs="Arial"/>
                <w:sz w:val="22"/>
                <w:szCs w:val="22"/>
                <w:lang w:eastAsia="en-US"/>
              </w:rPr>
              <w:t xml:space="preserve"> / </w:t>
            </w:r>
            <w:proofErr w:type="spellStart"/>
            <w:proofErr w:type="gramStart"/>
            <w:r w:rsidRPr="004B40E4">
              <w:rPr>
                <w:rFonts w:ascii="Arial" w:hAnsi="Arial" w:cs="Arial"/>
                <w:sz w:val="22"/>
                <w:szCs w:val="22"/>
                <w:lang w:eastAsia="en-US"/>
              </w:rPr>
              <w:t>week</w:t>
            </w:r>
            <w:proofErr w:type="spellEnd"/>
            <w:r w:rsidRPr="004B40E4">
              <w:rPr>
                <w:rFonts w:ascii="Arial" w:hAnsi="Arial" w:cs="Arial"/>
                <w:sz w:val="22"/>
                <w:szCs w:val="22"/>
                <w:lang w:eastAsia="en-US"/>
              </w:rPr>
              <w:t xml:space="preserve"> :</w:t>
            </w:r>
            <w:proofErr w:type="gramEnd"/>
            <w:r w:rsidRPr="004B40E4">
              <w:rPr>
                <w:rFonts w:ascii="Arial" w:hAnsi="Arial" w:cs="Arial"/>
                <w:sz w:val="22"/>
                <w:szCs w:val="22"/>
                <w:lang w:eastAsia="en-US"/>
              </w:rPr>
              <w:t xml:space="preserve"> </w:t>
            </w:r>
            <w:r>
              <w:rPr>
                <w:rFonts w:ascii="Arial" w:hAnsi="Arial" w:cs="Arial"/>
                <w:sz w:val="22"/>
                <w:szCs w:val="22"/>
                <w:lang w:eastAsia="en-US"/>
              </w:rPr>
              <w:t>2+</w:t>
            </w:r>
            <w:proofErr w:type="spellStart"/>
            <w:r>
              <w:rPr>
                <w:rFonts w:ascii="Arial" w:hAnsi="Arial" w:cs="Arial"/>
                <w:sz w:val="22"/>
                <w:szCs w:val="22"/>
                <w:lang w:eastAsia="en-US"/>
              </w:rPr>
              <w:t>2</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lecture</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practice</w:t>
            </w:r>
            <w:proofErr w:type="spellEnd"/>
            <w:r w:rsidRPr="004B40E4">
              <w:rPr>
                <w:rFonts w:ascii="Arial" w:hAnsi="Arial" w:cs="Arial"/>
                <w:sz w:val="22"/>
                <w:szCs w:val="22"/>
                <w:lang w:eastAsia="en-US"/>
              </w:rPr>
              <w:t>)</w:t>
            </w:r>
          </w:p>
        </w:tc>
      </w:tr>
      <w:tr w:rsidR="008C72AA"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Type of exam</w:t>
            </w:r>
            <w:r w:rsidRPr="004B40E4">
              <w:rPr>
                <w:rFonts w:ascii="Arial" w:hAnsi="Arial" w:cs="Arial"/>
                <w:sz w:val="22"/>
                <w:szCs w:val="22"/>
                <w:lang w:val="en-GB"/>
              </w:rPr>
              <w:t>: exam mark</w:t>
            </w:r>
          </w:p>
        </w:tc>
      </w:tr>
      <w:tr w:rsidR="008C72AA"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C72AA" w:rsidRPr="004B40E4" w:rsidRDefault="008C72AA" w:rsidP="00CD0962">
            <w:pPr>
              <w:jc w:val="both"/>
              <w:rPr>
                <w:rFonts w:ascii="Arial" w:hAnsi="Arial" w:cs="Arial"/>
                <w:sz w:val="22"/>
                <w:szCs w:val="22"/>
                <w:lang w:val="en-GB"/>
              </w:rPr>
            </w:pPr>
            <w:r w:rsidRPr="004B40E4">
              <w:rPr>
                <w:rFonts w:ascii="Arial" w:hAnsi="Arial" w:cs="Arial"/>
                <w:b/>
                <w:sz w:val="22"/>
                <w:szCs w:val="22"/>
                <w:lang w:val="en-GB"/>
              </w:rPr>
              <w:t>Subject in the curriculum:</w:t>
            </w:r>
            <w:r w:rsidRPr="004B40E4">
              <w:rPr>
                <w:rFonts w:ascii="Arial" w:hAnsi="Arial" w:cs="Arial"/>
                <w:sz w:val="22"/>
                <w:szCs w:val="22"/>
                <w:lang w:val="en-GB"/>
              </w:rPr>
              <w:t xml:space="preserve"> semester </w:t>
            </w:r>
            <w:r>
              <w:rPr>
                <w:rFonts w:ascii="Arial" w:hAnsi="Arial" w:cs="Arial"/>
                <w:sz w:val="22"/>
                <w:szCs w:val="22"/>
                <w:lang w:val="en-GB"/>
              </w:rPr>
              <w:t>2</w:t>
            </w:r>
          </w:p>
        </w:tc>
      </w:tr>
      <w:tr w:rsidR="008C72AA"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C72AA" w:rsidRPr="004B40E4" w:rsidRDefault="008C72AA" w:rsidP="00CD0962">
            <w:pPr>
              <w:jc w:val="both"/>
              <w:rPr>
                <w:rFonts w:ascii="Arial" w:hAnsi="Arial" w:cs="Arial"/>
                <w:sz w:val="22"/>
                <w:szCs w:val="22"/>
                <w:lang w:val="en-GB"/>
              </w:rPr>
            </w:pPr>
            <w:r w:rsidRPr="004B40E4">
              <w:rPr>
                <w:rFonts w:ascii="Arial" w:hAnsi="Arial" w:cs="Arial"/>
                <w:sz w:val="22"/>
                <w:szCs w:val="22"/>
                <w:lang w:val="en-GB"/>
              </w:rPr>
              <w:t>Preliminary requirements:</w:t>
            </w:r>
            <w:r w:rsidRPr="004B40E4">
              <w:rPr>
                <w:rFonts w:ascii="Arial" w:hAnsi="Arial" w:cs="Arial"/>
                <w:i/>
                <w:sz w:val="22"/>
                <w:szCs w:val="22"/>
                <w:lang w:val="en-GB"/>
              </w:rPr>
              <w:t xml:space="preserve"> </w:t>
            </w:r>
            <w:r w:rsidRPr="004B40E4">
              <w:rPr>
                <w:rFonts w:ascii="Arial" w:hAnsi="Arial" w:cs="Arial"/>
                <w:sz w:val="22"/>
                <w:szCs w:val="22"/>
                <w:lang w:val="en-GB"/>
              </w:rPr>
              <w:t>-</w:t>
            </w:r>
          </w:p>
        </w:tc>
      </w:tr>
    </w:tbl>
    <w:p w:rsidR="008C72AA" w:rsidRPr="004B40E4" w:rsidRDefault="008C72AA" w:rsidP="008C72A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C72AA"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theory</w:t>
            </w:r>
            <w:r w:rsidRPr="004B40E4">
              <w:rPr>
                <w:rFonts w:ascii="Arial" w:hAnsi="Arial" w:cs="Arial"/>
                <w:sz w:val="22"/>
                <w:szCs w:val="22"/>
                <w:lang w:val="en-GB"/>
              </w:rPr>
              <w:t xml:space="preserve">: </w:t>
            </w:r>
          </w:p>
        </w:tc>
      </w:tr>
      <w:tr w:rsidR="008C72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72AA" w:rsidRPr="004B40E4" w:rsidRDefault="008C72AA" w:rsidP="00CD0962">
            <w:pPr>
              <w:ind w:left="34"/>
              <w:jc w:val="both"/>
              <w:rPr>
                <w:rFonts w:ascii="Arial" w:hAnsi="Arial" w:cs="Arial"/>
                <w:sz w:val="22"/>
                <w:szCs w:val="22"/>
                <w:lang w:val="en-GB"/>
              </w:rPr>
            </w:pPr>
            <w:r w:rsidRPr="004B40E4">
              <w:rPr>
                <w:rFonts w:ascii="Arial" w:hAnsi="Arial" w:cs="Arial"/>
                <w:sz w:val="22"/>
                <w:szCs w:val="22"/>
                <w:lang w:val="en-GB"/>
              </w:rPr>
              <w:t xml:space="preserve">Course objectives: The basic objective of the course is to acquaint students with the knowledge of the most important </w:t>
            </w:r>
            <w:proofErr w:type="spellStart"/>
            <w:r w:rsidRPr="004B40E4">
              <w:rPr>
                <w:rFonts w:ascii="Arial" w:hAnsi="Arial" w:cs="Arial"/>
                <w:sz w:val="22"/>
                <w:szCs w:val="22"/>
                <w:lang w:val="en-GB"/>
              </w:rPr>
              <w:t>spectroscopyc</w:t>
            </w:r>
            <w:proofErr w:type="spellEnd"/>
            <w:r w:rsidRPr="004B40E4">
              <w:rPr>
                <w:rFonts w:ascii="Arial" w:hAnsi="Arial" w:cs="Arial"/>
                <w:sz w:val="22"/>
                <w:szCs w:val="22"/>
                <w:lang w:val="en-GB"/>
              </w:rPr>
              <w:t xml:space="preserve"> methods of the instrumental chemical analytical techniques required to determine the quality and chemical components of food, food raw materials and food ingredients.</w:t>
            </w:r>
          </w:p>
          <w:p w:rsidR="008C72AA" w:rsidRPr="004B40E4" w:rsidRDefault="008C72AA" w:rsidP="00CD0962">
            <w:pPr>
              <w:ind w:left="34"/>
              <w:jc w:val="both"/>
              <w:rPr>
                <w:rStyle w:val="st"/>
                <w:rFonts w:ascii="Arial" w:hAnsi="Arial" w:cs="Arial"/>
                <w:sz w:val="22"/>
                <w:szCs w:val="22"/>
                <w:lang w:val="en-GB"/>
              </w:rPr>
            </w:pP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 xml:space="preserve">1-2.: The simplified diagram of a </w:t>
            </w:r>
            <w:proofErr w:type="spellStart"/>
            <w:r w:rsidRPr="004B40E4">
              <w:rPr>
                <w:rFonts w:ascii="Arial" w:hAnsi="Arial" w:cs="Arial"/>
                <w:sz w:val="22"/>
                <w:szCs w:val="22"/>
                <w:lang w:val="en-GB"/>
              </w:rPr>
              <w:t>multielemental</w:t>
            </w:r>
            <w:proofErr w:type="spellEnd"/>
            <w:r w:rsidRPr="004B40E4">
              <w:rPr>
                <w:rFonts w:ascii="Arial" w:hAnsi="Arial" w:cs="Arial"/>
                <w:sz w:val="22"/>
                <w:szCs w:val="22"/>
                <w:lang w:val="en-GB"/>
              </w:rPr>
              <w:t xml:space="preserve"> chemical analysis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3.: The performance characteristics of analytical methods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4.: UV-VIS absorption spectrophotometry</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4.: General description of spectroscopic methods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5-6.: Flame atomic absorption spectrometry (FAAS).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7.: Graphite furnace atomic absorption spectrometry (GF-AAS)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8.: The interference effects of FAAS and GF-AAS techniques and their eliminations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9-10.: Inductively coupled plasma optical emission spectrometry (ICP-OES)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11-12.: Inductively coupled plasma mass spectrometry (ICP-MS)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13.: The interference effects of ICP-OES and ICP-MS techniques and their eliminations</w:t>
            </w:r>
          </w:p>
          <w:p w:rsidR="008C72AA" w:rsidRPr="004B40E4" w:rsidRDefault="008C72AA" w:rsidP="00CD0962">
            <w:pPr>
              <w:ind w:left="624" w:hanging="340"/>
              <w:jc w:val="both"/>
              <w:rPr>
                <w:rFonts w:ascii="Arial" w:hAnsi="Arial" w:cs="Arial"/>
                <w:sz w:val="22"/>
                <w:szCs w:val="22"/>
                <w:lang w:val="en-GB"/>
              </w:rPr>
            </w:pPr>
            <w:r w:rsidRPr="004B40E4">
              <w:rPr>
                <w:rFonts w:ascii="Arial" w:hAnsi="Arial" w:cs="Arial"/>
                <w:sz w:val="22"/>
                <w:szCs w:val="22"/>
                <w:lang w:val="en-GB"/>
              </w:rPr>
              <w:t>14.: Comparison, evaluation and application of each measurement technics</w:t>
            </w:r>
          </w:p>
          <w:p w:rsidR="008C72AA" w:rsidRPr="004B40E4" w:rsidRDefault="008C72AA" w:rsidP="00CD0962">
            <w:pPr>
              <w:ind w:left="624" w:hanging="340"/>
              <w:jc w:val="both"/>
              <w:rPr>
                <w:rFonts w:ascii="Arial" w:hAnsi="Arial" w:cs="Arial"/>
                <w:sz w:val="22"/>
                <w:szCs w:val="22"/>
                <w:lang w:val="en-GB"/>
              </w:rPr>
            </w:pPr>
          </w:p>
        </w:tc>
      </w:tr>
      <w:tr w:rsidR="008C72AA"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practice</w:t>
            </w:r>
            <w:r w:rsidRPr="004B40E4">
              <w:rPr>
                <w:rFonts w:ascii="Arial" w:hAnsi="Arial" w:cs="Arial"/>
                <w:sz w:val="22"/>
                <w:szCs w:val="22"/>
                <w:lang w:val="en-GB"/>
              </w:rPr>
              <w:t>:</w:t>
            </w:r>
          </w:p>
        </w:tc>
      </w:tr>
      <w:tr w:rsidR="008C72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72AA" w:rsidRPr="004B40E4" w:rsidRDefault="008C72AA" w:rsidP="00CD0962">
            <w:pPr>
              <w:ind w:left="34"/>
              <w:jc w:val="both"/>
              <w:rPr>
                <w:rFonts w:ascii="Arial" w:hAnsi="Arial" w:cs="Arial"/>
                <w:sz w:val="22"/>
                <w:szCs w:val="22"/>
                <w:lang w:val="en-GB"/>
              </w:rPr>
            </w:pPr>
            <w:r w:rsidRPr="004B40E4">
              <w:rPr>
                <w:rFonts w:ascii="Arial" w:hAnsi="Arial" w:cs="Arial"/>
                <w:sz w:val="22"/>
                <w:szCs w:val="22"/>
                <w:lang w:val="en-GB"/>
              </w:rPr>
              <w:t xml:space="preserve">Skills to be learnt: Learning to use the most important </w:t>
            </w:r>
            <w:proofErr w:type="spellStart"/>
            <w:r w:rsidRPr="004B40E4">
              <w:rPr>
                <w:rFonts w:ascii="Arial" w:hAnsi="Arial" w:cs="Arial"/>
                <w:sz w:val="22"/>
                <w:szCs w:val="22"/>
                <w:lang w:val="en-GB"/>
              </w:rPr>
              <w:t>spectroscopyc</w:t>
            </w:r>
            <w:proofErr w:type="spellEnd"/>
            <w:r w:rsidRPr="004B40E4">
              <w:rPr>
                <w:rFonts w:ascii="Arial" w:hAnsi="Arial" w:cs="Arial"/>
                <w:sz w:val="22"/>
                <w:szCs w:val="22"/>
                <w:lang w:val="en-GB"/>
              </w:rPr>
              <w:t xml:space="preserve"> methods of the instrumental chemical analytical techniques to determine the quality and components in various samples of food, food raw materials and food ingredients.</w:t>
            </w:r>
          </w:p>
          <w:p w:rsidR="008C72AA" w:rsidRPr="004B40E4" w:rsidRDefault="008C72AA" w:rsidP="00CD0962">
            <w:pPr>
              <w:ind w:left="34"/>
              <w:jc w:val="both"/>
              <w:rPr>
                <w:rFonts w:ascii="Arial" w:hAnsi="Arial" w:cs="Arial"/>
                <w:sz w:val="22"/>
                <w:szCs w:val="22"/>
                <w:lang w:val="en-GB"/>
              </w:rPr>
            </w:pP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1: Preparation and examination of an analytical method</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2 and 3: Concentration units, and their conversion</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4 and 5: Atomic mass, relative atomic mass, molecular mass</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6 and 7: Performance characteristics</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8: UV-Vis spectrophotometric method</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9: Oxidation numbers</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10 and 11: UV-Vis spectrophotometric method</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12: Sample preparation for elemental analysis</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13: Flame atomic absorption spectrometry</w:t>
            </w:r>
          </w:p>
          <w:p w:rsidR="008C72AA" w:rsidRPr="004B40E4" w:rsidRDefault="008C72AA" w:rsidP="00CD0962">
            <w:pPr>
              <w:ind w:left="681" w:hanging="397"/>
              <w:jc w:val="both"/>
              <w:rPr>
                <w:rFonts w:ascii="Arial" w:hAnsi="Arial" w:cs="Arial"/>
                <w:color w:val="000000" w:themeColor="text1"/>
                <w:sz w:val="22"/>
                <w:szCs w:val="22"/>
                <w:lang w:val="en-GB"/>
              </w:rPr>
            </w:pPr>
            <w:r w:rsidRPr="004B40E4">
              <w:rPr>
                <w:rFonts w:ascii="Arial" w:hAnsi="Arial" w:cs="Arial"/>
                <w:color w:val="000000" w:themeColor="text1"/>
                <w:sz w:val="22"/>
                <w:szCs w:val="22"/>
                <w:lang w:val="en-GB"/>
              </w:rPr>
              <w:t>14: Inductively coupled plasma optical emission spectrometry</w:t>
            </w:r>
          </w:p>
          <w:p w:rsidR="008C72AA" w:rsidRPr="004B40E4" w:rsidRDefault="008C72AA" w:rsidP="00CD0962">
            <w:pPr>
              <w:ind w:left="681" w:hanging="397"/>
              <w:jc w:val="both"/>
              <w:rPr>
                <w:rFonts w:ascii="Arial" w:hAnsi="Arial" w:cs="Arial"/>
                <w:sz w:val="22"/>
                <w:szCs w:val="22"/>
                <w:lang w:val="en-GB"/>
              </w:rPr>
            </w:pPr>
          </w:p>
        </w:tc>
      </w:tr>
      <w:tr w:rsidR="008C72AA"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8C72AA" w:rsidRPr="004B40E4" w:rsidRDefault="008C72AA" w:rsidP="00CD0962">
            <w:pPr>
              <w:ind w:right="-108"/>
              <w:rPr>
                <w:rFonts w:ascii="Arial" w:hAnsi="Arial" w:cs="Arial"/>
                <w:b/>
                <w:sz w:val="22"/>
                <w:szCs w:val="22"/>
                <w:lang w:val="en-GB"/>
              </w:rPr>
            </w:pPr>
            <w:r w:rsidRPr="004B40E4">
              <w:rPr>
                <w:rFonts w:ascii="Arial" w:hAnsi="Arial" w:cs="Arial"/>
                <w:b/>
                <w:sz w:val="22"/>
                <w:szCs w:val="22"/>
                <w:lang w:val="en-GB"/>
              </w:rPr>
              <w:t xml:space="preserve">Literature, handbooks </w:t>
            </w:r>
            <w:r w:rsidRPr="004B40E4">
              <w:rPr>
                <w:rFonts w:ascii="Arial" w:hAnsi="Arial" w:cs="Arial"/>
                <w:b/>
                <w:sz w:val="22"/>
                <w:szCs w:val="22"/>
                <w:u w:val="single"/>
                <w:lang w:val="en-GB"/>
              </w:rPr>
              <w:t xml:space="preserve">in English </w:t>
            </w:r>
          </w:p>
        </w:tc>
      </w:tr>
      <w:tr w:rsidR="008C72AA"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8C72AA" w:rsidRPr="004B40E4" w:rsidRDefault="008C72AA" w:rsidP="008C72AA">
            <w:pPr>
              <w:widowControl/>
              <w:numPr>
                <w:ilvl w:val="0"/>
                <w:numId w:val="29"/>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lastRenderedPageBreak/>
              <w:t xml:space="preserve">Boss, C. B. &amp; </w:t>
            </w:r>
            <w:proofErr w:type="spellStart"/>
            <w:r w:rsidRPr="004B40E4">
              <w:rPr>
                <w:rFonts w:ascii="Arial" w:hAnsi="Arial" w:cs="Arial"/>
                <w:sz w:val="22"/>
                <w:szCs w:val="22"/>
                <w:lang w:val="en-GB"/>
              </w:rPr>
              <w:t>Fredeen</w:t>
            </w:r>
            <w:proofErr w:type="spellEnd"/>
            <w:r w:rsidRPr="004B40E4">
              <w:rPr>
                <w:rFonts w:ascii="Arial" w:hAnsi="Arial" w:cs="Arial"/>
                <w:sz w:val="22"/>
                <w:szCs w:val="22"/>
                <w:lang w:val="en-GB"/>
              </w:rPr>
              <w:t>, K. J., 1997. Concepts, instrumentation, and techniques in inductively coupled plasma optical emission spectrometry. Perkin Elmer. USA.</w:t>
            </w:r>
          </w:p>
          <w:p w:rsidR="008C72AA" w:rsidRPr="004B40E4" w:rsidRDefault="008C72AA" w:rsidP="008C72AA">
            <w:pPr>
              <w:widowControl/>
              <w:numPr>
                <w:ilvl w:val="0"/>
                <w:numId w:val="29"/>
              </w:numPr>
              <w:suppressAutoHyphens w:val="0"/>
              <w:autoSpaceDN/>
              <w:jc w:val="both"/>
              <w:textAlignment w:val="auto"/>
              <w:rPr>
                <w:rFonts w:ascii="Arial" w:hAnsi="Arial" w:cs="Arial"/>
                <w:sz w:val="22"/>
                <w:szCs w:val="22"/>
                <w:lang w:val="en-GB"/>
              </w:rPr>
            </w:pPr>
            <w:proofErr w:type="spellStart"/>
            <w:r w:rsidRPr="004B40E4">
              <w:rPr>
                <w:rFonts w:ascii="Arial" w:hAnsi="Arial" w:cs="Arial"/>
                <w:sz w:val="22"/>
                <w:szCs w:val="22"/>
                <w:lang w:val="en-GB"/>
              </w:rPr>
              <w:t>Cresser</w:t>
            </w:r>
            <w:proofErr w:type="spellEnd"/>
            <w:r w:rsidRPr="004B40E4">
              <w:rPr>
                <w:rFonts w:ascii="Arial" w:hAnsi="Arial" w:cs="Arial"/>
                <w:sz w:val="22"/>
                <w:szCs w:val="22"/>
                <w:lang w:val="en-GB"/>
              </w:rPr>
              <w:t>, M. S., 1994. Flame spectrometry in environmental chemical analysis. The Royal Society of Chemistry. Cambridge.</w:t>
            </w:r>
          </w:p>
          <w:p w:rsidR="008C72AA" w:rsidRPr="004B40E4" w:rsidRDefault="008C72AA" w:rsidP="008C72AA">
            <w:pPr>
              <w:widowControl/>
              <w:numPr>
                <w:ilvl w:val="0"/>
                <w:numId w:val="29"/>
              </w:numPr>
              <w:suppressAutoHyphens w:val="0"/>
              <w:autoSpaceDN/>
              <w:jc w:val="both"/>
              <w:textAlignment w:val="auto"/>
              <w:rPr>
                <w:rFonts w:ascii="Arial" w:hAnsi="Arial" w:cs="Arial"/>
                <w:sz w:val="22"/>
                <w:szCs w:val="22"/>
                <w:lang w:val="en-GB"/>
              </w:rPr>
            </w:pPr>
            <w:proofErr w:type="spellStart"/>
            <w:r w:rsidRPr="004B40E4">
              <w:rPr>
                <w:rFonts w:ascii="Arial" w:hAnsi="Arial" w:cs="Arial"/>
                <w:sz w:val="22"/>
                <w:szCs w:val="22"/>
                <w:lang w:val="en-GB"/>
              </w:rPr>
              <w:t>Montaser</w:t>
            </w:r>
            <w:proofErr w:type="spellEnd"/>
            <w:r w:rsidRPr="004B40E4">
              <w:rPr>
                <w:rFonts w:ascii="Arial" w:hAnsi="Arial" w:cs="Arial"/>
                <w:sz w:val="22"/>
                <w:szCs w:val="22"/>
                <w:lang w:val="en-GB"/>
              </w:rPr>
              <w:t>, A. &amp; Golightly, D. W., 1987. Inductively coupled plasmas in analytical atomic spectrometry. VCH Publishers. New York.</w:t>
            </w:r>
          </w:p>
          <w:p w:rsidR="008C72AA" w:rsidRPr="004B40E4" w:rsidRDefault="008C72AA" w:rsidP="008C72AA">
            <w:pPr>
              <w:widowControl/>
              <w:numPr>
                <w:ilvl w:val="0"/>
                <w:numId w:val="29"/>
              </w:numPr>
              <w:suppressAutoHyphens w:val="0"/>
              <w:autoSpaceDN/>
              <w:jc w:val="both"/>
              <w:textAlignment w:val="auto"/>
              <w:rPr>
                <w:rFonts w:ascii="Arial" w:hAnsi="Arial" w:cs="Arial"/>
                <w:sz w:val="22"/>
                <w:szCs w:val="22"/>
                <w:lang w:val="en-GB"/>
              </w:rPr>
            </w:pPr>
            <w:proofErr w:type="spellStart"/>
            <w:r w:rsidRPr="004B40E4">
              <w:rPr>
                <w:rFonts w:ascii="Arial" w:hAnsi="Arial" w:cs="Arial"/>
                <w:sz w:val="22"/>
                <w:szCs w:val="22"/>
                <w:lang w:val="en-GB"/>
              </w:rPr>
              <w:t>Montaser</w:t>
            </w:r>
            <w:proofErr w:type="spellEnd"/>
            <w:r w:rsidRPr="004B40E4">
              <w:rPr>
                <w:rFonts w:ascii="Arial" w:hAnsi="Arial" w:cs="Arial"/>
                <w:sz w:val="22"/>
                <w:szCs w:val="22"/>
                <w:lang w:val="en-GB"/>
              </w:rPr>
              <w:t>, A. 1998. Inductively coupled plasmas mass spectrometry. VCH Publishers. New York.</w:t>
            </w:r>
          </w:p>
          <w:p w:rsidR="008C72AA" w:rsidRPr="004B40E4" w:rsidRDefault="008C72AA" w:rsidP="008C72AA">
            <w:pPr>
              <w:widowControl/>
              <w:numPr>
                <w:ilvl w:val="0"/>
                <w:numId w:val="29"/>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t>Pare J.R.J. and J.M.R. Belanger, 1997. Instrumental methods in food analysis. Environment Canada, Environmental Technology Centre, Ottawa, Ontario, Canada, Elsevier, Amsterdam - Lausanne - New York - Oxford - Shannon - Tokyo.</w:t>
            </w:r>
          </w:p>
          <w:p w:rsidR="008C72AA" w:rsidRPr="004B40E4" w:rsidRDefault="008C72AA" w:rsidP="00CD0962">
            <w:pPr>
              <w:ind w:left="754"/>
              <w:jc w:val="both"/>
              <w:rPr>
                <w:rFonts w:ascii="Arial" w:hAnsi="Arial" w:cs="Arial"/>
                <w:sz w:val="22"/>
                <w:szCs w:val="22"/>
                <w:lang w:val="en-GB"/>
              </w:rPr>
            </w:pPr>
          </w:p>
        </w:tc>
      </w:tr>
      <w:tr w:rsidR="008C72AA"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8C72AA" w:rsidRPr="004B40E4" w:rsidRDefault="008C72AA" w:rsidP="00CD0962">
            <w:pPr>
              <w:jc w:val="both"/>
              <w:rPr>
                <w:rFonts w:ascii="Arial" w:hAnsi="Arial" w:cs="Arial"/>
                <w:i/>
                <w:iCs/>
                <w:sz w:val="22"/>
                <w:szCs w:val="22"/>
                <w:lang w:val="en-GB"/>
              </w:rPr>
            </w:pPr>
            <w:r w:rsidRPr="004B40E4">
              <w:rPr>
                <w:rFonts w:ascii="Arial" w:hAnsi="Arial" w:cs="Arial"/>
                <w:b/>
                <w:sz w:val="22"/>
                <w:szCs w:val="22"/>
                <w:lang w:val="en-GB"/>
              </w:rPr>
              <w:t xml:space="preserve">Competencies gained </w:t>
            </w:r>
            <w:r w:rsidRPr="004B40E4">
              <w:rPr>
                <w:rFonts w:ascii="Arial" w:hAnsi="Arial" w:cs="Arial"/>
                <w:i/>
                <w:sz w:val="22"/>
                <w:szCs w:val="22"/>
                <w:lang w:val="en-GB"/>
              </w:rPr>
              <w:t xml:space="preserve">(acc. to the Regulation on training and outcome </w:t>
            </w:r>
            <w:r w:rsidRPr="004B40E4">
              <w:rPr>
                <w:rFonts w:ascii="Arial" w:hAnsi="Arial" w:cs="Arial"/>
                <w:i/>
                <w:iCs/>
                <w:sz w:val="22"/>
                <w:szCs w:val="22"/>
                <w:lang w:val="en-GB"/>
              </w:rPr>
              <w:t>requirements)</w:t>
            </w:r>
          </w:p>
          <w:p w:rsidR="008C72AA" w:rsidRPr="004B40E4" w:rsidRDefault="008C72AA" w:rsidP="00CD0962">
            <w:pPr>
              <w:jc w:val="both"/>
              <w:rPr>
                <w:rFonts w:ascii="Arial" w:hAnsi="Arial" w:cs="Arial"/>
                <w:b/>
                <w:color w:val="FF0000"/>
                <w:sz w:val="22"/>
                <w:szCs w:val="22"/>
                <w:lang w:val="en-GB"/>
              </w:rPr>
            </w:pPr>
          </w:p>
        </w:tc>
      </w:tr>
      <w:tr w:rsidR="008C72AA"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72AA" w:rsidRPr="004B40E4" w:rsidRDefault="008C72AA" w:rsidP="008C72AA">
            <w:pPr>
              <w:widowControl/>
              <w:numPr>
                <w:ilvl w:val="0"/>
                <w:numId w:val="30"/>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Knowledge:</w:t>
            </w:r>
          </w:p>
          <w:p w:rsidR="008C72AA" w:rsidRPr="004B40E4" w:rsidRDefault="008C72AA" w:rsidP="008C72AA">
            <w:pPr>
              <w:widowControl/>
              <w:numPr>
                <w:ilvl w:val="0"/>
                <w:numId w:val="1"/>
              </w:numPr>
              <w:tabs>
                <w:tab w:val="left" w:pos="317"/>
              </w:tabs>
              <w:autoSpaceDN/>
              <w:contextualSpacing/>
              <w:textAlignment w:val="auto"/>
              <w:rPr>
                <w:rFonts w:ascii="Arial" w:hAnsi="Arial" w:cs="Arial"/>
                <w:sz w:val="22"/>
                <w:szCs w:val="22"/>
                <w:lang w:val="en-GB"/>
              </w:rPr>
            </w:pPr>
            <w:r w:rsidRPr="004B40E4">
              <w:rPr>
                <w:rFonts w:ascii="Arial" w:hAnsi="Arial" w:cs="Arial"/>
                <w:sz w:val="22"/>
                <w:szCs w:val="22"/>
                <w:lang w:val="en-GB"/>
              </w:rPr>
              <w:t>They have to know the tools and methods in detail used to control food and its production processes.</w:t>
            </w:r>
          </w:p>
          <w:p w:rsidR="008C72AA" w:rsidRPr="004B40E4" w:rsidRDefault="008C72AA" w:rsidP="008C72AA">
            <w:pPr>
              <w:widowControl/>
              <w:numPr>
                <w:ilvl w:val="0"/>
                <w:numId w:val="30"/>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Skills:</w:t>
            </w:r>
          </w:p>
          <w:p w:rsidR="008C72AA" w:rsidRPr="004B40E4" w:rsidRDefault="008C72AA" w:rsidP="008C72AA">
            <w:pPr>
              <w:widowControl/>
              <w:numPr>
                <w:ilvl w:val="0"/>
                <w:numId w:val="1"/>
              </w:numPr>
              <w:tabs>
                <w:tab w:val="left" w:pos="317"/>
              </w:tabs>
              <w:autoSpaceDN/>
              <w:contextualSpacing/>
              <w:jc w:val="both"/>
              <w:textAlignment w:val="auto"/>
              <w:rPr>
                <w:rFonts w:ascii="Arial" w:hAnsi="Arial" w:cs="Arial"/>
                <w:sz w:val="22"/>
                <w:szCs w:val="22"/>
                <w:lang w:val="en-GB"/>
              </w:rPr>
            </w:pPr>
            <w:r w:rsidRPr="004B40E4">
              <w:rPr>
                <w:rFonts w:ascii="Arial" w:hAnsi="Arial" w:cs="Arial"/>
                <w:sz w:val="22"/>
                <w:szCs w:val="22"/>
                <w:lang w:val="en-GB"/>
              </w:rPr>
              <w:t>They have to have the ability to select appropriate test methods for the entire food chain.</w:t>
            </w:r>
          </w:p>
          <w:p w:rsidR="008C72AA" w:rsidRPr="004B40E4" w:rsidRDefault="008C72AA" w:rsidP="008C72AA">
            <w:pPr>
              <w:widowControl/>
              <w:numPr>
                <w:ilvl w:val="0"/>
                <w:numId w:val="30"/>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Attitude:</w:t>
            </w:r>
          </w:p>
          <w:p w:rsidR="008C72AA" w:rsidRPr="004B40E4" w:rsidRDefault="008C72AA" w:rsidP="008C72AA">
            <w:pPr>
              <w:widowControl/>
              <w:numPr>
                <w:ilvl w:val="0"/>
                <w:numId w:val="1"/>
              </w:numPr>
              <w:tabs>
                <w:tab w:val="left" w:pos="317"/>
              </w:tabs>
              <w:autoSpaceDN/>
              <w:contextualSpacing/>
              <w:textAlignment w:val="auto"/>
              <w:rPr>
                <w:rFonts w:ascii="Arial" w:hAnsi="Arial" w:cs="Arial"/>
                <w:sz w:val="22"/>
                <w:szCs w:val="22"/>
                <w:lang w:val="en-GB"/>
              </w:rPr>
            </w:pPr>
            <w:r w:rsidRPr="004B40E4">
              <w:rPr>
                <w:rFonts w:ascii="Arial" w:hAnsi="Arial" w:cs="Arial"/>
                <w:sz w:val="22"/>
                <w:szCs w:val="22"/>
                <w:lang w:val="en-GB"/>
              </w:rPr>
              <w:t>They have to be open, motivated and responsive to the knowledge and practical application of modern and innovative procedures, moreover open to paradigm changes in food science and -technology.</w:t>
            </w:r>
          </w:p>
          <w:p w:rsidR="008C72AA" w:rsidRPr="004B40E4" w:rsidRDefault="008C72AA" w:rsidP="008C72AA">
            <w:pPr>
              <w:widowControl/>
              <w:numPr>
                <w:ilvl w:val="0"/>
                <w:numId w:val="1"/>
              </w:numPr>
              <w:tabs>
                <w:tab w:val="left" w:pos="317"/>
              </w:tabs>
              <w:autoSpaceDN/>
              <w:contextualSpacing/>
              <w:textAlignment w:val="auto"/>
              <w:rPr>
                <w:rFonts w:ascii="Arial" w:hAnsi="Arial" w:cs="Arial"/>
                <w:sz w:val="22"/>
                <w:szCs w:val="22"/>
                <w:lang w:val="en-GB"/>
              </w:rPr>
            </w:pPr>
            <w:r w:rsidRPr="004B40E4">
              <w:rPr>
                <w:rFonts w:ascii="Arial" w:hAnsi="Arial" w:cs="Arial"/>
                <w:sz w:val="22"/>
                <w:szCs w:val="22"/>
                <w:lang w:val="en-GB"/>
              </w:rPr>
              <w:t xml:space="preserve">They have to </w:t>
            </w:r>
            <w:r>
              <w:rPr>
                <w:rFonts w:ascii="Arial" w:hAnsi="Arial" w:cs="Arial"/>
                <w:sz w:val="22"/>
                <w:szCs w:val="22"/>
                <w:lang w:val="en-GB"/>
              </w:rPr>
              <w:t>be able to</w:t>
            </w:r>
            <w:r w:rsidRPr="004B40E4">
              <w:rPr>
                <w:rFonts w:ascii="Arial" w:hAnsi="Arial" w:cs="Arial"/>
                <w:sz w:val="22"/>
                <w:szCs w:val="22"/>
                <w:lang w:val="en-GB"/>
              </w:rPr>
              <w:t xml:space="preserve"> recognize the values in the area of food safety and -quality.</w:t>
            </w:r>
          </w:p>
          <w:p w:rsidR="008C72AA" w:rsidRPr="004B40E4" w:rsidRDefault="008C72AA" w:rsidP="008C72AA">
            <w:pPr>
              <w:widowControl/>
              <w:numPr>
                <w:ilvl w:val="0"/>
                <w:numId w:val="1"/>
              </w:numPr>
              <w:tabs>
                <w:tab w:val="left" w:pos="317"/>
              </w:tabs>
              <w:autoSpaceDN/>
              <w:contextualSpacing/>
              <w:textAlignment w:val="auto"/>
              <w:rPr>
                <w:rFonts w:ascii="Arial" w:hAnsi="Arial" w:cs="Arial"/>
                <w:sz w:val="22"/>
                <w:szCs w:val="22"/>
                <w:lang w:val="en-GB"/>
              </w:rPr>
            </w:pPr>
            <w:r w:rsidRPr="004B40E4">
              <w:rPr>
                <w:rFonts w:ascii="Arial" w:hAnsi="Arial" w:cs="Arial"/>
                <w:sz w:val="22"/>
                <w:szCs w:val="22"/>
                <w:lang w:val="en-GB"/>
              </w:rPr>
              <w:t>They have to be responsive to the use of effective methods and tools.</w:t>
            </w:r>
          </w:p>
          <w:p w:rsidR="008C72AA" w:rsidRPr="004B40E4" w:rsidRDefault="008C72AA" w:rsidP="008C72AA">
            <w:pPr>
              <w:widowControl/>
              <w:numPr>
                <w:ilvl w:val="0"/>
                <w:numId w:val="30"/>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Autonomy and responsibility:</w:t>
            </w:r>
          </w:p>
          <w:p w:rsidR="008C72AA" w:rsidRPr="004B40E4" w:rsidRDefault="008C72AA" w:rsidP="008C72AA">
            <w:pPr>
              <w:pStyle w:val="Listaszerbekezds"/>
              <w:numPr>
                <w:ilvl w:val="0"/>
                <w:numId w:val="1"/>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They should be able to take the responsibility for the quality and safety of food</w:t>
            </w:r>
            <w:r>
              <w:rPr>
                <w:rFonts w:ascii="Arial" w:hAnsi="Arial" w:cs="Arial"/>
                <w:sz w:val="22"/>
                <w:szCs w:val="22"/>
                <w:lang w:val="en-GB"/>
              </w:rPr>
              <w:t xml:space="preserve"> produced.</w:t>
            </w:r>
          </w:p>
        </w:tc>
      </w:tr>
    </w:tbl>
    <w:p w:rsidR="008C72AA" w:rsidRPr="004B40E4" w:rsidRDefault="008C72AA" w:rsidP="008C72A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C72AA" w:rsidRPr="004B40E4" w:rsidTr="00CD0962">
        <w:trPr>
          <w:trHeight w:val="338"/>
        </w:trPr>
        <w:tc>
          <w:tcPr>
            <w:tcW w:w="9356" w:type="dxa"/>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Responsible lecturer: </w:t>
            </w:r>
            <w:proofErr w:type="spellStart"/>
            <w:r w:rsidRPr="004B40E4">
              <w:rPr>
                <w:rFonts w:ascii="Arial" w:hAnsi="Arial" w:cs="Arial"/>
                <w:b/>
                <w:sz w:val="22"/>
                <w:szCs w:val="22"/>
                <w:lang w:val="en-GB"/>
              </w:rPr>
              <w:t>Prof.</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Dr.</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Béla</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Kovács</w:t>
            </w:r>
            <w:proofErr w:type="spellEnd"/>
            <w:r w:rsidRPr="004B40E4">
              <w:rPr>
                <w:rFonts w:ascii="Arial" w:hAnsi="Arial" w:cs="Arial"/>
                <w:b/>
                <w:sz w:val="22"/>
                <w:szCs w:val="22"/>
                <w:lang w:val="en-GB"/>
              </w:rPr>
              <w:t>, professor, PhD</w:t>
            </w:r>
          </w:p>
        </w:tc>
      </w:tr>
      <w:tr w:rsidR="008C72AA" w:rsidRPr="004B40E4" w:rsidTr="00CD0962">
        <w:trPr>
          <w:trHeight w:val="337"/>
        </w:trPr>
        <w:tc>
          <w:tcPr>
            <w:tcW w:w="9356" w:type="dxa"/>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Other lecturer(s): </w:t>
            </w:r>
            <w:proofErr w:type="spellStart"/>
            <w:r w:rsidRPr="004B40E4">
              <w:rPr>
                <w:rFonts w:ascii="Arial" w:hAnsi="Arial" w:cs="Arial"/>
                <w:b/>
                <w:sz w:val="22"/>
                <w:szCs w:val="22"/>
                <w:lang w:val="en-GB"/>
              </w:rPr>
              <w:t>Dr.</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Éva</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Bacskainé</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Bódi</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Áron</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Soós</w:t>
            </w:r>
            <w:proofErr w:type="spellEnd"/>
          </w:p>
        </w:tc>
      </w:tr>
    </w:tbl>
    <w:p w:rsidR="008C72AA" w:rsidRPr="004B40E4" w:rsidRDefault="008C72AA" w:rsidP="008C72A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C72A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Terms of course completion:</w:t>
            </w:r>
          </w:p>
        </w:tc>
      </w:tr>
      <w:tr w:rsidR="008C72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72AA" w:rsidRPr="004B40E4" w:rsidRDefault="008C72AA" w:rsidP="008C72AA">
            <w:pPr>
              <w:pStyle w:val="Listaszerbekezds"/>
              <w:numPr>
                <w:ilvl w:val="0"/>
                <w:numId w:val="28"/>
              </w:numPr>
              <w:suppressAutoHyphens/>
              <w:autoSpaceDN/>
              <w:contextualSpacing/>
              <w:rPr>
                <w:rFonts w:ascii="Arial" w:hAnsi="Arial" w:cs="Arial"/>
                <w:color w:val="000000" w:themeColor="text1"/>
                <w:sz w:val="22"/>
                <w:szCs w:val="22"/>
                <w:lang w:val="en-GB"/>
              </w:rPr>
            </w:pPr>
            <w:r w:rsidRPr="004B40E4">
              <w:rPr>
                <w:rFonts w:ascii="Arial" w:hAnsi="Arial" w:cs="Arial"/>
                <w:color w:val="000000" w:themeColor="text1"/>
                <w:sz w:val="22"/>
                <w:szCs w:val="22"/>
                <w:lang w:val="en-GB"/>
              </w:rPr>
              <w:t>Completing laboratory exercises</w:t>
            </w:r>
          </w:p>
          <w:p w:rsidR="008C72AA" w:rsidRPr="004B40E4" w:rsidRDefault="008C72AA" w:rsidP="008C72AA">
            <w:pPr>
              <w:pStyle w:val="Listaszerbekezds"/>
              <w:numPr>
                <w:ilvl w:val="0"/>
                <w:numId w:val="28"/>
              </w:numPr>
              <w:suppressAutoHyphens/>
              <w:autoSpaceDN/>
              <w:contextualSpacing/>
              <w:rPr>
                <w:rFonts w:ascii="Arial" w:hAnsi="Arial" w:cs="Arial"/>
                <w:sz w:val="22"/>
                <w:szCs w:val="22"/>
                <w:lang w:val="en-GB"/>
              </w:rPr>
            </w:pPr>
            <w:r w:rsidRPr="004B40E4">
              <w:rPr>
                <w:rFonts w:ascii="Arial" w:hAnsi="Arial" w:cs="Arial"/>
                <w:color w:val="000000" w:themeColor="text1"/>
                <w:sz w:val="22"/>
                <w:szCs w:val="22"/>
                <w:lang w:val="en-GB"/>
              </w:rPr>
              <w:t>Oral exam (2 questions)</w:t>
            </w:r>
          </w:p>
        </w:tc>
      </w:tr>
      <w:tr w:rsidR="008C72AA"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Form of examination:</w:t>
            </w:r>
          </w:p>
        </w:tc>
      </w:tr>
      <w:tr w:rsidR="008C72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72AA" w:rsidRPr="004B40E4" w:rsidRDefault="008C72AA" w:rsidP="00CD0962">
            <w:pPr>
              <w:ind w:left="34"/>
              <w:rPr>
                <w:rFonts w:ascii="Arial" w:hAnsi="Arial" w:cs="Arial"/>
                <w:sz w:val="22"/>
                <w:szCs w:val="22"/>
                <w:lang w:val="en-GB"/>
              </w:rPr>
            </w:pPr>
            <w:r w:rsidRPr="004B40E4">
              <w:rPr>
                <w:rFonts w:ascii="Arial" w:hAnsi="Arial" w:cs="Arial"/>
                <w:color w:val="000000" w:themeColor="text1"/>
                <w:sz w:val="22"/>
                <w:szCs w:val="22"/>
                <w:lang w:val="en-GB"/>
              </w:rPr>
              <w:t>Oral exam</w:t>
            </w:r>
          </w:p>
        </w:tc>
      </w:tr>
      <w:tr w:rsidR="008C72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i/>
                <w:sz w:val="22"/>
                <w:szCs w:val="22"/>
                <w:lang w:val="en-GB"/>
              </w:rPr>
            </w:pPr>
            <w:r w:rsidRPr="004B40E4">
              <w:rPr>
                <w:rFonts w:ascii="Arial" w:hAnsi="Arial" w:cs="Arial"/>
                <w:b/>
                <w:sz w:val="22"/>
                <w:szCs w:val="22"/>
                <w:lang w:val="en-GB"/>
              </w:rPr>
              <w:t>Requirement(s) to get signature:</w:t>
            </w:r>
          </w:p>
        </w:tc>
      </w:tr>
      <w:tr w:rsidR="008C72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72AA" w:rsidRPr="004B40E4" w:rsidRDefault="008C72AA" w:rsidP="00CD0962">
            <w:pPr>
              <w:tabs>
                <w:tab w:val="left" w:pos="1277"/>
              </w:tabs>
              <w:ind w:left="34"/>
              <w:rPr>
                <w:rFonts w:ascii="Arial" w:hAnsi="Arial" w:cs="Arial"/>
                <w:sz w:val="22"/>
                <w:szCs w:val="22"/>
                <w:lang w:val="en-GB"/>
              </w:rPr>
            </w:pPr>
            <w:r w:rsidRPr="004B40E4">
              <w:rPr>
                <w:rFonts w:ascii="Arial" w:hAnsi="Arial" w:cs="Arial"/>
                <w:sz w:val="22"/>
                <w:szCs w:val="22"/>
                <w:lang w:val="en-GB"/>
              </w:rPr>
              <w:t xml:space="preserve">Participate </w:t>
            </w:r>
            <w:r>
              <w:rPr>
                <w:rFonts w:ascii="Arial" w:hAnsi="Arial" w:cs="Arial"/>
                <w:sz w:val="22"/>
                <w:szCs w:val="22"/>
                <w:lang w:val="en-GB"/>
              </w:rPr>
              <w:t>i</w:t>
            </w:r>
            <w:r w:rsidRPr="004B40E4">
              <w:rPr>
                <w:rFonts w:ascii="Arial" w:hAnsi="Arial" w:cs="Arial"/>
                <w:sz w:val="22"/>
                <w:szCs w:val="22"/>
                <w:lang w:val="en-GB"/>
              </w:rPr>
              <w:t>n the practices and successful practice tests</w:t>
            </w:r>
          </w:p>
        </w:tc>
      </w:tr>
    </w:tbl>
    <w:p w:rsidR="008C72AA" w:rsidRPr="004B40E4" w:rsidRDefault="008C72AA" w:rsidP="008C72A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C72A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C72AA" w:rsidRPr="004B40E4" w:rsidRDefault="008C72AA" w:rsidP="00CD0962">
            <w:pPr>
              <w:spacing w:before="60"/>
              <w:jc w:val="both"/>
              <w:rPr>
                <w:rFonts w:ascii="Arial" w:hAnsi="Arial" w:cs="Arial"/>
                <w:b/>
                <w:sz w:val="22"/>
                <w:szCs w:val="22"/>
                <w:lang w:val="en-GB"/>
              </w:rPr>
            </w:pPr>
            <w:r w:rsidRPr="004B40E4">
              <w:rPr>
                <w:rFonts w:ascii="Arial" w:hAnsi="Arial" w:cs="Arial"/>
                <w:b/>
                <w:sz w:val="22"/>
                <w:szCs w:val="22"/>
                <w:lang w:val="en-GB"/>
              </w:rPr>
              <w:t>Exam questions:</w:t>
            </w:r>
          </w:p>
        </w:tc>
      </w:tr>
      <w:tr w:rsidR="008C72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72AA" w:rsidRPr="004B40E4" w:rsidRDefault="008C72AA" w:rsidP="008C72AA">
            <w:pPr>
              <w:widowControl/>
              <w:numPr>
                <w:ilvl w:val="0"/>
                <w:numId w:val="27"/>
              </w:numPr>
              <w:suppressAutoHyphens w:val="0"/>
              <w:autoSpaceDN/>
              <w:ind w:left="568" w:hanging="284"/>
              <w:jc w:val="both"/>
              <w:textAlignment w:val="auto"/>
              <w:rPr>
                <w:rFonts w:ascii="Arial" w:hAnsi="Arial" w:cs="Arial"/>
                <w:bCs/>
                <w:sz w:val="22"/>
                <w:szCs w:val="22"/>
                <w:lang w:val="en-GB"/>
              </w:rPr>
            </w:pPr>
            <w:r w:rsidRPr="004B40E4">
              <w:rPr>
                <w:rFonts w:ascii="Arial" w:hAnsi="Arial" w:cs="Arial"/>
                <w:bCs/>
                <w:sz w:val="22"/>
                <w:szCs w:val="22"/>
                <w:lang w:val="en-GB"/>
              </w:rPr>
              <w:t>Compare the most important parameters of the FAAS, the GF-AAS, the ICP-OES and the ICP-MS measurement methods.</w:t>
            </w:r>
          </w:p>
          <w:p w:rsidR="008C72AA" w:rsidRPr="004B40E4" w:rsidRDefault="008C72AA" w:rsidP="008C72AA">
            <w:pPr>
              <w:widowControl/>
              <w:numPr>
                <w:ilvl w:val="0"/>
                <w:numId w:val="27"/>
              </w:numPr>
              <w:suppressAutoHyphens w:val="0"/>
              <w:autoSpaceDN/>
              <w:ind w:left="568" w:hanging="284"/>
              <w:jc w:val="both"/>
              <w:textAlignment w:val="auto"/>
              <w:rPr>
                <w:rFonts w:ascii="Arial" w:hAnsi="Arial" w:cs="Arial"/>
                <w:bCs/>
                <w:sz w:val="22"/>
                <w:szCs w:val="22"/>
                <w:lang w:val="en-GB"/>
              </w:rPr>
            </w:pPr>
            <w:r w:rsidRPr="004B40E4">
              <w:rPr>
                <w:rFonts w:ascii="Arial" w:hAnsi="Arial" w:cs="Arial"/>
                <w:bCs/>
                <w:sz w:val="22"/>
                <w:szCs w:val="22"/>
                <w:lang w:val="en-GB"/>
              </w:rPr>
              <w:lastRenderedPageBreak/>
              <w:t xml:space="preserve">Give details of principles and methods of the atomic absorption spectrometry, as well as the various types, moreover draw and explain the schematic structure of the AAS </w:t>
            </w:r>
            <w:proofErr w:type="spellStart"/>
            <w:r w:rsidRPr="004B40E4">
              <w:rPr>
                <w:rFonts w:ascii="Arial" w:hAnsi="Arial" w:cs="Arial"/>
                <w:bCs/>
                <w:sz w:val="22"/>
                <w:szCs w:val="22"/>
                <w:lang w:val="en-GB"/>
              </w:rPr>
              <w:t>equipments</w:t>
            </w:r>
            <w:proofErr w:type="spellEnd"/>
            <w:r w:rsidRPr="004B40E4">
              <w:rPr>
                <w:rFonts w:ascii="Arial" w:hAnsi="Arial" w:cs="Arial"/>
                <w:bCs/>
                <w:sz w:val="22"/>
                <w:szCs w:val="22"/>
                <w:lang w:val="en-GB"/>
              </w:rPr>
              <w:t>.</w:t>
            </w:r>
            <w:r w:rsidRPr="004B40E4">
              <w:rPr>
                <w:rFonts w:ascii="Arial" w:hAnsi="Arial" w:cs="Arial"/>
                <w:sz w:val="22"/>
                <w:szCs w:val="22"/>
                <w:lang w:val="en-GB"/>
              </w:rPr>
              <w:t xml:space="preserve"> Give a list </w:t>
            </w:r>
            <w:r>
              <w:rPr>
                <w:rFonts w:ascii="Arial" w:hAnsi="Arial" w:cs="Arial"/>
                <w:sz w:val="22"/>
                <w:szCs w:val="22"/>
                <w:lang w:val="en-GB"/>
              </w:rPr>
              <w:t>of</w:t>
            </w:r>
            <w:r w:rsidRPr="004B40E4">
              <w:rPr>
                <w:rFonts w:ascii="Arial" w:hAnsi="Arial" w:cs="Arial"/>
                <w:sz w:val="22"/>
                <w:szCs w:val="22"/>
                <w:lang w:val="en-GB"/>
              </w:rPr>
              <w:t xml:space="preserve"> the possible </w:t>
            </w:r>
            <w:r w:rsidRPr="004B40E4">
              <w:rPr>
                <w:rFonts w:ascii="Arial" w:hAnsi="Arial" w:cs="Arial"/>
                <w:bCs/>
                <w:sz w:val="22"/>
                <w:szCs w:val="22"/>
                <w:lang w:val="en-GB"/>
              </w:rPr>
              <w:t>interference effects and their eliminations.</w:t>
            </w:r>
          </w:p>
          <w:p w:rsidR="008C72AA" w:rsidRPr="004B40E4" w:rsidRDefault="008C72AA" w:rsidP="008C72AA">
            <w:pPr>
              <w:widowControl/>
              <w:numPr>
                <w:ilvl w:val="0"/>
                <w:numId w:val="27"/>
              </w:numPr>
              <w:suppressAutoHyphens w:val="0"/>
              <w:autoSpaceDN/>
              <w:ind w:left="568" w:hanging="284"/>
              <w:jc w:val="both"/>
              <w:textAlignment w:val="auto"/>
              <w:rPr>
                <w:rFonts w:ascii="Arial" w:hAnsi="Arial" w:cs="Arial"/>
                <w:bCs/>
                <w:sz w:val="22"/>
                <w:szCs w:val="22"/>
                <w:lang w:val="en-GB"/>
              </w:rPr>
            </w:pPr>
            <w:r w:rsidRPr="004B40E4">
              <w:rPr>
                <w:rFonts w:ascii="Arial" w:hAnsi="Arial" w:cs="Arial"/>
                <w:bCs/>
                <w:sz w:val="22"/>
                <w:szCs w:val="22"/>
                <w:lang w:val="en-GB"/>
              </w:rPr>
              <w:t>Give details of basic principle and method of the inductively coupled plasma mass spectrometry, as well as the schematic structure of the equipment, moreover the four main types of the interfering effects appearing in ICP-MS technique (interferences and eliminations).</w:t>
            </w:r>
          </w:p>
          <w:p w:rsidR="008C72AA" w:rsidRPr="004B40E4" w:rsidRDefault="008C72AA" w:rsidP="008C72AA">
            <w:pPr>
              <w:widowControl/>
              <w:numPr>
                <w:ilvl w:val="0"/>
                <w:numId w:val="27"/>
              </w:numPr>
              <w:suppressAutoHyphens w:val="0"/>
              <w:autoSpaceDN/>
              <w:ind w:left="568" w:hanging="284"/>
              <w:jc w:val="both"/>
              <w:textAlignment w:val="auto"/>
              <w:rPr>
                <w:rFonts w:ascii="Arial" w:hAnsi="Arial" w:cs="Arial"/>
                <w:bCs/>
                <w:sz w:val="22"/>
                <w:szCs w:val="22"/>
                <w:lang w:val="en-GB"/>
              </w:rPr>
            </w:pPr>
            <w:r w:rsidRPr="004B40E4">
              <w:rPr>
                <w:rFonts w:ascii="Arial" w:hAnsi="Arial" w:cs="Arial"/>
                <w:bCs/>
                <w:sz w:val="22"/>
                <w:szCs w:val="22"/>
                <w:lang w:val="en-GB"/>
              </w:rPr>
              <w:t>Give details of basic principle and method of the inductively coupled plasma optical emission spectrometry, as well as the schematic structure of the equipment, moreover the sample introduction techniques.</w:t>
            </w:r>
            <w:r w:rsidRPr="004B40E4">
              <w:rPr>
                <w:rFonts w:ascii="Arial" w:hAnsi="Arial" w:cs="Arial"/>
                <w:sz w:val="22"/>
                <w:szCs w:val="22"/>
                <w:lang w:val="en-GB"/>
              </w:rPr>
              <w:t xml:space="preserve"> </w:t>
            </w:r>
            <w:r w:rsidRPr="004B40E4">
              <w:rPr>
                <w:rFonts w:ascii="Arial" w:hAnsi="Arial" w:cs="Arial"/>
                <w:bCs/>
                <w:sz w:val="22"/>
                <w:szCs w:val="22"/>
                <w:lang w:val="en-GB"/>
              </w:rPr>
              <w:t>Give a list about the possible interference effects and their eliminations.</w:t>
            </w:r>
          </w:p>
          <w:p w:rsidR="008C72AA" w:rsidRPr="004B40E4" w:rsidRDefault="008C72AA" w:rsidP="008C72AA">
            <w:pPr>
              <w:widowControl/>
              <w:numPr>
                <w:ilvl w:val="0"/>
                <w:numId w:val="27"/>
              </w:numPr>
              <w:suppressAutoHyphens w:val="0"/>
              <w:autoSpaceDN/>
              <w:ind w:left="568" w:hanging="284"/>
              <w:jc w:val="both"/>
              <w:textAlignment w:val="auto"/>
              <w:rPr>
                <w:rFonts w:ascii="Arial" w:hAnsi="Arial" w:cs="Arial"/>
                <w:bCs/>
                <w:sz w:val="22"/>
                <w:szCs w:val="22"/>
                <w:lang w:val="en-GB"/>
              </w:rPr>
            </w:pPr>
            <w:r w:rsidRPr="004B40E4">
              <w:rPr>
                <w:rFonts w:ascii="Arial" w:hAnsi="Arial" w:cs="Arial"/>
                <w:bCs/>
                <w:sz w:val="22"/>
                <w:szCs w:val="22"/>
                <w:lang w:val="en-GB"/>
              </w:rPr>
              <w:t>The most important performance characteristics of the analytical methods.</w:t>
            </w:r>
          </w:p>
          <w:p w:rsidR="008C72AA" w:rsidRPr="004B40E4" w:rsidRDefault="008C72AA" w:rsidP="008C72AA">
            <w:pPr>
              <w:widowControl/>
              <w:numPr>
                <w:ilvl w:val="0"/>
                <w:numId w:val="27"/>
              </w:numPr>
              <w:suppressAutoHyphens w:val="0"/>
              <w:autoSpaceDN/>
              <w:ind w:left="568" w:hanging="284"/>
              <w:jc w:val="both"/>
              <w:textAlignment w:val="auto"/>
              <w:rPr>
                <w:rFonts w:ascii="Arial" w:hAnsi="Arial" w:cs="Arial"/>
                <w:bCs/>
                <w:sz w:val="22"/>
                <w:szCs w:val="22"/>
                <w:lang w:val="en-GB"/>
              </w:rPr>
            </w:pPr>
            <w:r w:rsidRPr="004B40E4">
              <w:rPr>
                <w:rFonts w:ascii="Arial" w:hAnsi="Arial" w:cs="Arial"/>
                <w:bCs/>
                <w:sz w:val="22"/>
                <w:szCs w:val="22"/>
                <w:lang w:val="en-GB"/>
              </w:rPr>
              <w:t>Give details of the simplified flowchart for inorganic environmental analysis, including a rough error estimation for the different analytical procedures (the detailed examples also).</w:t>
            </w:r>
          </w:p>
          <w:p w:rsidR="008C72AA" w:rsidRPr="004B40E4" w:rsidRDefault="008C72AA" w:rsidP="008C72AA">
            <w:pPr>
              <w:widowControl/>
              <w:numPr>
                <w:ilvl w:val="0"/>
                <w:numId w:val="27"/>
              </w:numPr>
              <w:suppressAutoHyphens w:val="0"/>
              <w:autoSpaceDN/>
              <w:ind w:left="568" w:hanging="284"/>
              <w:jc w:val="both"/>
              <w:textAlignment w:val="auto"/>
              <w:rPr>
                <w:rFonts w:ascii="Arial" w:hAnsi="Arial" w:cs="Arial"/>
                <w:bCs/>
                <w:sz w:val="22"/>
                <w:szCs w:val="22"/>
                <w:lang w:val="en-GB"/>
              </w:rPr>
            </w:pPr>
            <w:r w:rsidRPr="004B40E4">
              <w:rPr>
                <w:rFonts w:ascii="Arial" w:hAnsi="Arial" w:cs="Arial"/>
                <w:bCs/>
                <w:sz w:val="22"/>
                <w:szCs w:val="22"/>
                <w:lang w:val="en-GB"/>
              </w:rPr>
              <w:t>Give details of basic principle and method of the UV-VIS spectrophotometry, as well as the schematic structure of the equipment, moreover the constituents what we can analyse.</w:t>
            </w:r>
          </w:p>
          <w:p w:rsidR="008C72AA" w:rsidRPr="004B40E4" w:rsidRDefault="008C72AA" w:rsidP="00CD0962">
            <w:pPr>
              <w:ind w:left="568"/>
              <w:jc w:val="both"/>
              <w:rPr>
                <w:rFonts w:ascii="Arial" w:hAnsi="Arial" w:cs="Arial"/>
                <w:bCs/>
                <w:sz w:val="22"/>
                <w:szCs w:val="22"/>
                <w:lang w:val="en-GB"/>
              </w:rPr>
            </w:pPr>
          </w:p>
          <w:p w:rsidR="008C72AA" w:rsidRPr="004B40E4" w:rsidRDefault="008C72AA" w:rsidP="00CD0962">
            <w:pPr>
              <w:pStyle w:val="Listaszerbekezds"/>
              <w:suppressAutoHyphens/>
              <w:ind w:left="754"/>
              <w:rPr>
                <w:rFonts w:ascii="Arial" w:hAnsi="Arial" w:cs="Arial"/>
                <w:sz w:val="22"/>
                <w:szCs w:val="22"/>
                <w:lang w:val="en-GB"/>
              </w:rPr>
            </w:pPr>
          </w:p>
        </w:tc>
      </w:tr>
    </w:tbl>
    <w:p w:rsidR="00F42A96" w:rsidRPr="008C72AA" w:rsidRDefault="00F42A96" w:rsidP="008C72AA"/>
    <w:sectPr w:rsidR="00F42A96" w:rsidRPr="008C7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1" w15:restartNumberingAfterBreak="0">
    <w:nsid w:val="086B239E"/>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D552B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FA386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138A40A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14470A8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19F459C5"/>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123523"/>
    <w:multiLevelType w:val="hybridMultilevel"/>
    <w:tmpl w:val="EF08C22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D777AB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2E4F562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185A8A"/>
    <w:multiLevelType w:val="hybridMultilevel"/>
    <w:tmpl w:val="6F5ECF78"/>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5" w15:restartNumberingAfterBreak="0">
    <w:nsid w:val="34E563F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3D6F0F43"/>
    <w:multiLevelType w:val="hybridMultilevel"/>
    <w:tmpl w:val="E3862D08"/>
    <w:lvl w:ilvl="0" w:tplc="133C339E">
      <w:start w:val="1"/>
      <w:numFmt w:val="decimal"/>
      <w:suff w:val="space"/>
      <w:lvlText w:val="%1."/>
      <w:lvlJc w:val="left"/>
      <w:pPr>
        <w:ind w:left="0" w:firstLine="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F10CC1"/>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02D3D68"/>
    <w:multiLevelType w:val="hybridMultilevel"/>
    <w:tmpl w:val="F710B690"/>
    <w:lvl w:ilvl="0" w:tplc="38684A2A">
      <w:start w:val="1"/>
      <w:numFmt w:val="decimal"/>
      <w:lvlText w:val="%1."/>
      <w:lvlJc w:val="left"/>
      <w:pPr>
        <w:ind w:left="754" w:hanging="360"/>
      </w:pPr>
      <w:rPr>
        <w:rFonts w:ascii="Times New Roman" w:eastAsia="Times New Roman" w:hAnsi="Times New Roman" w:cs="Times New Roman" w:hint="default"/>
        <w:spacing w:val="-3"/>
        <w:w w:val="99"/>
        <w:sz w:val="24"/>
        <w:szCs w:val="24"/>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562A5EB8"/>
    <w:multiLevelType w:val="hybridMultilevel"/>
    <w:tmpl w:val="0658BE7A"/>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5AAE0F7D"/>
    <w:multiLevelType w:val="hybridMultilevel"/>
    <w:tmpl w:val="CE120526"/>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5" w15:restartNumberingAfterBreak="0">
    <w:nsid w:val="60C536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6"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7AD1693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DA46142"/>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5"/>
  </w:num>
  <w:num w:numId="5">
    <w:abstractNumId w:val="21"/>
  </w:num>
  <w:num w:numId="6">
    <w:abstractNumId w:val="4"/>
  </w:num>
  <w:num w:numId="7">
    <w:abstractNumId w:val="18"/>
  </w:num>
  <w:num w:numId="8">
    <w:abstractNumId w:val="12"/>
  </w:num>
  <w:num w:numId="9">
    <w:abstractNumId w:val="2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9"/>
  </w:num>
  <w:num w:numId="16">
    <w:abstractNumId w:val="10"/>
  </w:num>
  <w:num w:numId="17">
    <w:abstractNumId w:val="15"/>
  </w:num>
  <w:num w:numId="18">
    <w:abstractNumId w:val="9"/>
  </w:num>
  <w:num w:numId="19">
    <w:abstractNumId w:val="16"/>
  </w:num>
  <w:num w:numId="20">
    <w:abstractNumId w:val="22"/>
  </w:num>
  <w:num w:numId="21">
    <w:abstractNumId w:val="11"/>
  </w:num>
  <w:num w:numId="22">
    <w:abstractNumId w:val="7"/>
  </w:num>
  <w:num w:numId="23">
    <w:abstractNumId w:val="13"/>
  </w:num>
  <w:num w:numId="24">
    <w:abstractNumId w:val="8"/>
  </w:num>
  <w:num w:numId="25">
    <w:abstractNumId w:val="23"/>
  </w:num>
  <w:num w:numId="26">
    <w:abstractNumId w:val="20"/>
  </w:num>
  <w:num w:numId="27">
    <w:abstractNumId w:val="17"/>
  </w:num>
  <w:num w:numId="28">
    <w:abstractNumId w:val="3"/>
  </w:num>
  <w:num w:numId="29">
    <w:abstractNumId w:val="5"/>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492D51"/>
    <w:rsid w:val="004C5D3E"/>
    <w:rsid w:val="005D5B8C"/>
    <w:rsid w:val="00646768"/>
    <w:rsid w:val="00800AF8"/>
    <w:rsid w:val="008C72AA"/>
    <w:rsid w:val="00D344CA"/>
    <w:rsid w:val="00D77BED"/>
    <w:rsid w:val="00D919D0"/>
    <w:rsid w:val="00DC6898"/>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4744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2019-08-28T12:19:00Z</dcterms:created>
  <dcterms:modified xsi:type="dcterms:W3CDTF">2019-08-28T12:19:00Z</dcterms:modified>
</cp:coreProperties>
</file>