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4"/>
        <w:gridCol w:w="2738"/>
      </w:tblGrid>
      <w:tr w:rsidR="004C6F44" w:rsidRPr="00782B03" w:rsidTr="00CD0962">
        <w:tc>
          <w:tcPr>
            <w:tcW w:w="6237" w:type="dxa"/>
            <w:tcMar>
              <w:top w:w="57" w:type="dxa"/>
              <w:bottom w:w="57" w:type="dxa"/>
            </w:tcMar>
          </w:tcPr>
          <w:p w:rsidR="004C6F44" w:rsidRPr="00782B03" w:rsidRDefault="004C6F44" w:rsidP="00CD0962">
            <w:pPr>
              <w:suppressAutoHyphens/>
              <w:spacing w:before="120" w:after="120"/>
              <w:jc w:val="both"/>
              <w:rPr>
                <w:rFonts w:ascii="Arial"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 </w:t>
            </w:r>
            <w:bookmarkStart w:id="0" w:name="_GoBack"/>
            <w:r w:rsidRPr="00782B03">
              <w:rPr>
                <w:rFonts w:ascii="Arial" w:hAnsi="Arial" w:cs="Arial"/>
                <w:b/>
                <w:lang w:val="en-US"/>
              </w:rPr>
              <w:t>Food Physics</w:t>
            </w:r>
            <w:r w:rsidRPr="00782B03">
              <w:rPr>
                <w:rFonts w:ascii="Arial" w:hAnsi="Arial" w:cs="Arial"/>
                <w:lang w:val="en-US"/>
              </w:rPr>
              <w:t xml:space="preserve"> MTBE7003A</w:t>
            </w:r>
            <w:bookmarkEnd w:id="0"/>
          </w:p>
        </w:tc>
        <w:tc>
          <w:tcPr>
            <w:tcW w:w="2801" w:type="dxa"/>
            <w:tcMar>
              <w:top w:w="57" w:type="dxa"/>
              <w:bottom w:w="57" w:type="dxa"/>
            </w:tcMar>
          </w:tcPr>
          <w:p w:rsidR="004C6F44" w:rsidRPr="00782B03" w:rsidRDefault="004C6F44" w:rsidP="00CD0962">
            <w:pPr>
              <w:suppressAutoHyphens/>
              <w:spacing w:before="120" w:after="120"/>
              <w:jc w:val="both"/>
              <w:rPr>
                <w:rFonts w:ascii="Arial" w:hAnsi="Arial" w:cs="Arial"/>
                <w:b/>
                <w:lang w:val="en-US"/>
              </w:rPr>
            </w:pPr>
            <w:r w:rsidRPr="00782B03">
              <w:rPr>
                <w:rFonts w:ascii="Arial" w:hAnsi="Arial" w:cs="Arial"/>
                <w:b/>
                <w:lang w:val="en-US"/>
              </w:rPr>
              <w:t>ECTS Credit Points: 4</w:t>
            </w:r>
          </w:p>
        </w:tc>
      </w:tr>
      <w:tr w:rsidR="004C6F44" w:rsidRPr="00782B03" w:rsidTr="00CD0962">
        <w:tc>
          <w:tcPr>
            <w:tcW w:w="9038" w:type="dxa"/>
            <w:gridSpan w:val="2"/>
            <w:tcMar>
              <w:top w:w="57" w:type="dxa"/>
              <w:bottom w:w="57" w:type="dxa"/>
            </w:tcMar>
          </w:tcPr>
          <w:p w:rsidR="004C6F44" w:rsidRPr="00782B03" w:rsidRDefault="004C6F44"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lang w:val="en-US"/>
              </w:rPr>
              <w:t>compulsory</w:t>
            </w:r>
          </w:p>
        </w:tc>
      </w:tr>
      <w:tr w:rsidR="004C6F44" w:rsidRPr="00782B03" w:rsidTr="00CD0962">
        <w:tc>
          <w:tcPr>
            <w:tcW w:w="9038" w:type="dxa"/>
            <w:gridSpan w:val="2"/>
            <w:tcMar>
              <w:top w:w="57" w:type="dxa"/>
              <w:bottom w:w="57" w:type="dxa"/>
            </w:tcMar>
          </w:tcPr>
          <w:p w:rsidR="004C6F44" w:rsidRPr="00782B03" w:rsidRDefault="004C6F44" w:rsidP="00CD0962">
            <w:pPr>
              <w:suppressAutoHyphens/>
              <w:spacing w:before="120" w:after="120"/>
              <w:jc w:val="both"/>
              <w:rPr>
                <w:rFonts w:ascii="Arial" w:hAnsi="Arial" w:cs="Arial"/>
                <w:lang w:val="en-US"/>
              </w:rPr>
            </w:pPr>
            <w:r w:rsidRPr="00782B03">
              <w:rPr>
                <w:rFonts w:ascii="Arial" w:hAnsi="Arial" w:cs="Arial"/>
                <w:b/>
                <w:lang w:val="en-US"/>
              </w:rPr>
              <w:t>Ratio of theory and practice</w:t>
            </w:r>
            <w:r w:rsidRPr="00782B03">
              <w:rPr>
                <w:rFonts w:ascii="Arial" w:hAnsi="Arial" w:cs="Arial"/>
                <w:lang w:val="en-US"/>
              </w:rPr>
              <w:t xml:space="preserve"> (credit%) 50 % theoretical, 50 % practical</w:t>
            </w:r>
          </w:p>
        </w:tc>
      </w:tr>
      <w:tr w:rsidR="004C6F44" w:rsidRPr="00782B03" w:rsidTr="00CD0962">
        <w:tc>
          <w:tcPr>
            <w:tcW w:w="9038" w:type="dxa"/>
            <w:gridSpan w:val="2"/>
            <w:tcMar>
              <w:top w:w="57" w:type="dxa"/>
              <w:bottom w:w="57" w:type="dxa"/>
            </w:tcMar>
          </w:tcPr>
          <w:p w:rsidR="004C6F44" w:rsidRPr="00782B03" w:rsidRDefault="004C6F44"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p>
          <w:p w:rsidR="004C6F44" w:rsidRPr="00782B03" w:rsidRDefault="004C6F44" w:rsidP="00CD0962">
            <w:pPr>
              <w:suppressAutoHyphens/>
              <w:spacing w:before="120" w:after="120"/>
              <w:jc w:val="both"/>
              <w:rPr>
                <w:rFonts w:ascii="Arial" w:hAnsi="Arial" w:cs="Arial"/>
                <w:lang w:val="en-US"/>
              </w:rPr>
            </w:pPr>
            <w:r w:rsidRPr="00782B03">
              <w:rPr>
                <w:rFonts w:ascii="Arial" w:hAnsi="Arial" w:cs="Arial"/>
                <w:lang w:val="en-US"/>
              </w:rPr>
              <w:t>Number of teaching hours per week : 2+2 (lecture and practice)</w:t>
            </w:r>
          </w:p>
        </w:tc>
      </w:tr>
      <w:tr w:rsidR="004C6F44" w:rsidRPr="00782B03" w:rsidTr="00CD0962">
        <w:tc>
          <w:tcPr>
            <w:tcW w:w="9038" w:type="dxa"/>
            <w:gridSpan w:val="2"/>
            <w:tcMar>
              <w:top w:w="57" w:type="dxa"/>
              <w:bottom w:w="57" w:type="dxa"/>
            </w:tcMar>
          </w:tcPr>
          <w:p w:rsidR="004C6F44" w:rsidRPr="00782B03" w:rsidRDefault="004C6F44"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lang w:val="en-US"/>
              </w:rPr>
              <w:t>colloquium</w:t>
            </w:r>
          </w:p>
        </w:tc>
      </w:tr>
      <w:tr w:rsidR="004C6F44" w:rsidRPr="00782B03" w:rsidTr="00CD0962">
        <w:tc>
          <w:tcPr>
            <w:tcW w:w="9038" w:type="dxa"/>
            <w:gridSpan w:val="2"/>
            <w:tcMar>
              <w:top w:w="57" w:type="dxa"/>
              <w:bottom w:w="57" w:type="dxa"/>
            </w:tcMar>
          </w:tcPr>
          <w:p w:rsidR="004C6F44" w:rsidRPr="00782B03" w:rsidRDefault="004C6F44"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w:t>
            </w:r>
            <w:r w:rsidRPr="00782B03">
              <w:rPr>
                <w:rFonts w:ascii="Arial" w:hAnsi="Arial" w:cs="Arial"/>
                <w:b/>
                <w:lang w:val="en-US"/>
              </w:rPr>
              <w:t>1st semester.</w:t>
            </w:r>
          </w:p>
        </w:tc>
      </w:tr>
      <w:tr w:rsidR="004C6F44" w:rsidRPr="00782B03" w:rsidTr="00CD0962">
        <w:tc>
          <w:tcPr>
            <w:tcW w:w="9038" w:type="dxa"/>
            <w:gridSpan w:val="2"/>
            <w:tcMar>
              <w:top w:w="57" w:type="dxa"/>
              <w:bottom w:w="57" w:type="dxa"/>
            </w:tcMar>
          </w:tcPr>
          <w:p w:rsidR="004C6F44" w:rsidRPr="00782B03" w:rsidRDefault="004C6F44" w:rsidP="00CD0962">
            <w:pPr>
              <w:suppressAutoHyphens/>
              <w:spacing w:before="120" w:after="120"/>
              <w:jc w:val="both"/>
              <w:rPr>
                <w:rFonts w:ascii="Arial" w:hAnsi="Arial" w:cs="Arial"/>
                <w:lang w:val="en-US"/>
              </w:rPr>
            </w:pPr>
            <w:r w:rsidRPr="00782B03">
              <w:rPr>
                <w:rFonts w:ascii="Arial" w:hAnsi="Arial" w:cs="Arial"/>
                <w:b/>
                <w:lang w:val="en-US"/>
              </w:rPr>
              <w:t>Preliminary requirements:</w:t>
            </w:r>
            <w:r w:rsidRPr="00782B03">
              <w:rPr>
                <w:rFonts w:ascii="Arial" w:hAnsi="Arial" w:cs="Arial"/>
                <w:i/>
                <w:lang w:val="en-US"/>
              </w:rPr>
              <w:t xml:space="preserve"> </w:t>
            </w:r>
            <w:r w:rsidRPr="00782B03">
              <w:rPr>
                <w:rFonts w:ascii="Arial" w:hAnsi="Arial" w:cs="Arial"/>
                <w:b/>
                <w:lang w:val="en-US"/>
              </w:rPr>
              <w:t>none</w:t>
            </w:r>
          </w:p>
        </w:tc>
      </w:tr>
    </w:tbl>
    <w:p w:rsidR="004C6F44" w:rsidRPr="00782B03" w:rsidRDefault="004C6F44" w:rsidP="004C6F44">
      <w:pPr>
        <w:suppressAutoHyphens/>
        <w:jc w:val="both"/>
        <w:rPr>
          <w:rFonts w:ascii="Arial"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C6F44" w:rsidRPr="00782B03" w:rsidTr="00CD0962">
        <w:tc>
          <w:tcPr>
            <w:tcW w:w="9072" w:type="dxa"/>
            <w:tcBorders>
              <w:bottom w:val="dotted" w:sz="4" w:space="0" w:color="auto"/>
            </w:tcBorders>
            <w:tcMar>
              <w:top w:w="57" w:type="dxa"/>
              <w:bottom w:w="57" w:type="dxa"/>
            </w:tcMar>
          </w:tcPr>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w:t>
            </w:r>
          </w:p>
        </w:tc>
      </w:tr>
      <w:tr w:rsidR="004C6F44" w:rsidRPr="00782B03" w:rsidTr="00CD0962">
        <w:trPr>
          <w:trHeight w:val="280"/>
        </w:trPr>
        <w:tc>
          <w:tcPr>
            <w:tcW w:w="9072" w:type="dxa"/>
            <w:tcBorders>
              <w:top w:val="dotted" w:sz="4" w:space="0" w:color="auto"/>
            </w:tcBorders>
            <w:shd w:val="clear" w:color="auto" w:fill="FFF2CC"/>
            <w:tcMar>
              <w:top w:w="57" w:type="dxa"/>
              <w:bottom w:w="57" w:type="dxa"/>
            </w:tcMar>
          </w:tcPr>
          <w:p w:rsidR="004C6F44" w:rsidRPr="00782B03" w:rsidRDefault="004C6F44" w:rsidP="00CD0962">
            <w:pPr>
              <w:spacing w:before="60"/>
              <w:jc w:val="both"/>
              <w:rPr>
                <w:rFonts w:ascii="Arial" w:hAnsi="Arial" w:cs="Arial"/>
                <w:lang w:val="en-US"/>
              </w:rPr>
            </w:pPr>
            <w:r w:rsidRPr="00782B03">
              <w:rPr>
                <w:rFonts w:ascii="Arial" w:hAnsi="Arial" w:cs="Arial"/>
                <w:lang w:val="en-US"/>
              </w:rPr>
              <w:t>Course objectives:</w:t>
            </w:r>
          </w:p>
          <w:p w:rsidR="004C6F44" w:rsidRPr="00782B03" w:rsidRDefault="004C6F44" w:rsidP="00CD0962">
            <w:pPr>
              <w:spacing w:before="60"/>
              <w:jc w:val="both"/>
              <w:rPr>
                <w:rFonts w:ascii="Arial" w:hAnsi="Arial" w:cs="Arial"/>
                <w:lang w:val="en-US"/>
              </w:rPr>
            </w:pPr>
            <w:r w:rsidRPr="00782B03">
              <w:rPr>
                <w:rFonts w:ascii="Arial" w:hAnsi="Arial" w:cs="Arial"/>
                <w:lang w:val="en-US"/>
              </w:rPr>
              <w:t>Acquisition of the physical bases of the processes that determine the production and quality assurance of foods and raw materials, their scientific foundation, and the understanding of the physical bases. Developing skills to accommodate new knowledge.</w:t>
            </w:r>
          </w:p>
          <w:p w:rsidR="004C6F44" w:rsidRPr="00782B03" w:rsidRDefault="004C6F44" w:rsidP="00CD0962">
            <w:pPr>
              <w:spacing w:before="60"/>
              <w:jc w:val="both"/>
              <w:rPr>
                <w:rFonts w:ascii="Arial" w:hAnsi="Arial" w:cs="Arial"/>
                <w:lang w:val="en-US"/>
              </w:rPr>
            </w:pPr>
            <w:r w:rsidRPr="00782B03">
              <w:rPr>
                <w:rFonts w:ascii="Arial" w:hAnsi="Arial" w:cs="Arial"/>
                <w:lang w:val="en-US"/>
              </w:rPr>
              <w:t>Education of selected food physical knowledge, grounding of further studies, and the foundation of related primer and subject areas.</w:t>
            </w:r>
          </w:p>
          <w:p w:rsidR="004C6F44" w:rsidRPr="00782B03" w:rsidRDefault="004C6F44" w:rsidP="00CD0962">
            <w:pPr>
              <w:suppressAutoHyphens/>
              <w:ind w:left="34"/>
              <w:jc w:val="both"/>
              <w:rPr>
                <w:rFonts w:ascii="Arial" w:hAnsi="Arial" w:cs="Arial"/>
                <w:lang w:val="en-US"/>
              </w:rPr>
            </w:pPr>
            <w:r w:rsidRPr="00782B03">
              <w:rPr>
                <w:rFonts w:ascii="Arial" w:hAnsi="Arial" w:cs="Arial"/>
                <w:lang w:val="en-US"/>
              </w:rPr>
              <w:t>Schedule:</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1st week: Structure, composition and contents of subject Food Physics. Basic knowledges: systems and environment, phases, components. Dimensions and prefixes.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2nd week: Physical </w:t>
            </w:r>
            <w:proofErr w:type="spellStart"/>
            <w:r w:rsidRPr="00782B03">
              <w:rPr>
                <w:rFonts w:ascii="Arial" w:hAnsi="Arial" w:cs="Arial"/>
                <w:lang w:val="en-US"/>
              </w:rPr>
              <w:t>characterisation</w:t>
            </w:r>
            <w:proofErr w:type="spellEnd"/>
            <w:r w:rsidRPr="00782B03">
              <w:rPr>
                <w:rFonts w:ascii="Arial" w:hAnsi="Arial" w:cs="Arial"/>
                <w:lang w:val="en-US"/>
              </w:rPr>
              <w:t xml:space="preserve"> of water. Functions of water in biological systems. Water content of different ground materials of foods. Definition of phenomenon water activity. Connections between food’s water activity and shelf life.</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3rd week: Sorption studies: definition of absorption, adsorption, </w:t>
            </w:r>
            <w:proofErr w:type="spellStart"/>
            <w:r w:rsidRPr="00782B03">
              <w:rPr>
                <w:rFonts w:ascii="Arial" w:hAnsi="Arial" w:cs="Arial"/>
                <w:lang w:val="en-US"/>
              </w:rPr>
              <w:t>biosorption</w:t>
            </w:r>
            <w:proofErr w:type="spellEnd"/>
            <w:r w:rsidRPr="00782B03">
              <w:rPr>
                <w:rFonts w:ascii="Arial" w:hAnsi="Arial" w:cs="Arial"/>
                <w:lang w:val="en-US"/>
              </w:rPr>
              <w:t xml:space="preserve">, desorption, adsorbent, </w:t>
            </w:r>
            <w:proofErr w:type="spellStart"/>
            <w:r w:rsidRPr="00782B03">
              <w:rPr>
                <w:rFonts w:ascii="Arial" w:hAnsi="Arial" w:cs="Arial"/>
                <w:lang w:val="en-US"/>
              </w:rPr>
              <w:t>adsorptivum</w:t>
            </w:r>
            <w:proofErr w:type="spellEnd"/>
            <w:r w:rsidRPr="00782B03">
              <w:rPr>
                <w:rFonts w:ascii="Arial" w:hAnsi="Arial" w:cs="Arial"/>
                <w:lang w:val="en-US"/>
              </w:rPr>
              <w:t xml:space="preserve">, </w:t>
            </w:r>
            <w:proofErr w:type="spellStart"/>
            <w:r w:rsidRPr="00782B03">
              <w:rPr>
                <w:rFonts w:ascii="Arial" w:hAnsi="Arial" w:cs="Arial"/>
                <w:lang w:val="en-US"/>
              </w:rPr>
              <w:t>adsorbatum</w:t>
            </w:r>
            <w:proofErr w:type="spellEnd"/>
            <w:r w:rsidRPr="00782B03">
              <w:rPr>
                <w:rFonts w:ascii="Arial" w:hAnsi="Arial" w:cs="Arial"/>
                <w:lang w:val="en-US"/>
              </w:rPr>
              <w:t xml:space="preserve">, adsorption capacity, adsorption saturation, </w:t>
            </w:r>
            <w:proofErr w:type="spellStart"/>
            <w:r w:rsidRPr="00782B03">
              <w:rPr>
                <w:rFonts w:ascii="Arial" w:hAnsi="Arial" w:cs="Arial"/>
                <w:lang w:val="en-US"/>
              </w:rPr>
              <w:t>liophile</w:t>
            </w:r>
            <w:proofErr w:type="spellEnd"/>
            <w:r w:rsidRPr="00782B03">
              <w:rPr>
                <w:rFonts w:ascii="Arial" w:hAnsi="Arial" w:cs="Arial"/>
                <w:lang w:val="en-US"/>
              </w:rPr>
              <w:t xml:space="preserve"> adsorbent, </w:t>
            </w:r>
            <w:proofErr w:type="spellStart"/>
            <w:r w:rsidRPr="00782B03">
              <w:rPr>
                <w:rFonts w:ascii="Arial" w:hAnsi="Arial" w:cs="Arial"/>
                <w:lang w:val="en-US"/>
              </w:rPr>
              <w:t>liophobe</w:t>
            </w:r>
            <w:proofErr w:type="spellEnd"/>
            <w:r w:rsidRPr="00782B03">
              <w:rPr>
                <w:rFonts w:ascii="Arial" w:hAnsi="Arial" w:cs="Arial"/>
                <w:lang w:val="en-US"/>
              </w:rPr>
              <w:t xml:space="preserve"> adsorbent, </w:t>
            </w:r>
            <w:proofErr w:type="spellStart"/>
            <w:r w:rsidRPr="00782B03">
              <w:rPr>
                <w:rFonts w:ascii="Arial" w:hAnsi="Arial" w:cs="Arial"/>
                <w:lang w:val="en-US"/>
              </w:rPr>
              <w:t>liosorption</w:t>
            </w:r>
            <w:proofErr w:type="spellEnd"/>
            <w:r w:rsidRPr="00782B03">
              <w:rPr>
                <w:rFonts w:ascii="Arial" w:hAnsi="Arial" w:cs="Arial"/>
                <w:lang w:val="en-US"/>
              </w:rPr>
              <w:t xml:space="preserve">, </w:t>
            </w:r>
            <w:proofErr w:type="spellStart"/>
            <w:r w:rsidRPr="00782B03">
              <w:rPr>
                <w:rFonts w:ascii="Arial" w:hAnsi="Arial" w:cs="Arial"/>
                <w:lang w:val="en-US"/>
              </w:rPr>
              <w:t>chemosorption</w:t>
            </w:r>
            <w:proofErr w:type="spellEnd"/>
            <w:r w:rsidRPr="00782B03">
              <w:rPr>
                <w:rFonts w:ascii="Arial" w:hAnsi="Arial" w:cs="Arial"/>
                <w:lang w:val="en-US"/>
              </w:rPr>
              <w:t>.</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4th week: Definitions of mass and density. Density influencing factors. Connection between density and particle size in the case of solid stages.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5th week:</w:t>
            </w:r>
            <w:r w:rsidRPr="00782B03">
              <w:rPr>
                <w:rFonts w:ascii="Arial" w:hAnsi="Arial" w:cs="Arial"/>
                <w:b/>
                <w:lang w:val="en-US"/>
              </w:rPr>
              <w:t xml:space="preserve"> </w:t>
            </w:r>
            <w:r w:rsidRPr="00782B03">
              <w:rPr>
                <w:rFonts w:ascii="Arial" w:hAnsi="Arial" w:cs="Arial"/>
                <w:lang w:val="en-US"/>
              </w:rPr>
              <w:t xml:space="preserve">Solid state. Crystal grid types and errors. Solutions, solubility. Hydration heat, dissolving heat. Liquid state, surface tension, critical parameters. </w:t>
            </w:r>
            <w:proofErr w:type="spellStart"/>
            <w:r w:rsidRPr="00782B03">
              <w:rPr>
                <w:rFonts w:ascii="Arial" w:hAnsi="Arial" w:cs="Arial"/>
                <w:lang w:val="en-US"/>
              </w:rPr>
              <w:t>Vapour</w:t>
            </w:r>
            <w:proofErr w:type="spellEnd"/>
            <w:r w:rsidRPr="00782B03">
              <w:rPr>
                <w:rFonts w:ascii="Arial" w:hAnsi="Arial" w:cs="Arial"/>
                <w:lang w:val="en-US"/>
              </w:rPr>
              <w:t xml:space="preserve"> tension. Gaseous stage, ideal and realistic gases, gas laws.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6th week: Rheological properties – elasticity, plasticity and flow </w:t>
            </w:r>
            <w:proofErr w:type="spellStart"/>
            <w:r w:rsidRPr="00782B03">
              <w:rPr>
                <w:rFonts w:ascii="Arial" w:hAnsi="Arial" w:cs="Arial"/>
                <w:lang w:val="en-US"/>
              </w:rPr>
              <w:t>behaviours</w:t>
            </w:r>
            <w:proofErr w:type="spellEnd"/>
            <w:r w:rsidRPr="00782B03">
              <w:rPr>
                <w:rFonts w:ascii="Arial" w:hAnsi="Arial" w:cs="Arial"/>
                <w:lang w:val="en-US"/>
              </w:rPr>
              <w:t xml:space="preserve">. Influencing factors: temperature, pressure. Energy and time demand at the flowing of elastic and plastic systems. </w:t>
            </w:r>
            <w:proofErr w:type="spellStart"/>
            <w:r w:rsidRPr="00782B03">
              <w:rPr>
                <w:rFonts w:ascii="Arial" w:hAnsi="Arial" w:cs="Arial"/>
                <w:lang w:val="en-US"/>
              </w:rPr>
              <w:t>Tixotripy</w:t>
            </w:r>
            <w:proofErr w:type="spellEnd"/>
            <w:r w:rsidRPr="00782B03">
              <w:rPr>
                <w:rFonts w:ascii="Arial" w:hAnsi="Arial" w:cs="Arial"/>
                <w:lang w:val="en-US"/>
              </w:rPr>
              <w:t>, changing of movement characteristics.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7th week: Phenomenon of surface tension of fluids: reason, definition, dimension, measurement methods. </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8th week: Definition, measurement methods and calculation of permeability of plain sheet shape materials.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9th week: Thermal properties. Temperature scales: Celsius, Fahrenheit and Kalvin. Calorimetry, measuring the potential energy level of foods. Basic principles of thermodynamic. Physical and energetic background of operation of refrigerators and deep freezers. Using the heat energy of the freezer’s warm side.</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10th week: Caloric values of foods. Thermal analysis of different foods: TA, DTA, TG and DTG methods and evaluation of the diagrams.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11th week: Electronical and electrical properties. Electro conductivity, capacity and </w:t>
            </w:r>
            <w:proofErr w:type="spellStart"/>
            <w:r w:rsidRPr="00782B03">
              <w:rPr>
                <w:rFonts w:ascii="Arial" w:hAnsi="Arial" w:cs="Arial"/>
                <w:lang w:val="en-US"/>
              </w:rPr>
              <w:t>electrolity</w:t>
            </w:r>
            <w:proofErr w:type="spellEnd"/>
            <w:r w:rsidRPr="00782B03">
              <w:rPr>
                <w:rFonts w:ascii="Arial" w:hAnsi="Arial" w:cs="Arial"/>
                <w:lang w:val="en-US"/>
              </w:rPr>
              <w:t xml:space="preserve"> solutions. Operations of galvanic elements and batteries. Redox systems, redox potential and their role in foods. Local elements and their use in corrosion protection.</w:t>
            </w:r>
          </w:p>
          <w:p w:rsidR="004C6F44" w:rsidRPr="00782B03" w:rsidRDefault="004C6F44" w:rsidP="00CD0962">
            <w:pPr>
              <w:keepLines/>
              <w:widowControl w:val="0"/>
              <w:ind w:left="346" w:hanging="346"/>
              <w:jc w:val="both"/>
              <w:rPr>
                <w:rFonts w:ascii="Arial" w:hAnsi="Arial" w:cs="Arial"/>
                <w:lang w:val="en-US"/>
              </w:rPr>
            </w:pPr>
            <w:r w:rsidRPr="00782B03">
              <w:rPr>
                <w:rFonts w:ascii="Arial" w:hAnsi="Arial" w:cs="Arial"/>
                <w:lang w:val="en-US"/>
              </w:rPr>
              <w:t>12th week: Magnetic properties: diamagnetic, paramagnetic and ferromagnetic characters. Nuclear magnetic resonance and its analytical use for foods.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13th week: Optical properties of systems. Refraction index, colorimetry. Light absorption of solvents. </w:t>
            </w:r>
          </w:p>
          <w:p w:rsidR="004C6F44" w:rsidRPr="00782B03" w:rsidRDefault="004C6F44" w:rsidP="00CD0962">
            <w:pPr>
              <w:suppressAutoHyphens/>
              <w:ind w:left="346" w:hanging="346"/>
              <w:jc w:val="both"/>
              <w:rPr>
                <w:rFonts w:ascii="Arial" w:hAnsi="Arial" w:cs="Arial"/>
                <w:lang w:val="en-US"/>
              </w:rPr>
            </w:pPr>
            <w:r w:rsidRPr="00782B03">
              <w:rPr>
                <w:rFonts w:ascii="Arial" w:hAnsi="Arial" w:cs="Arial"/>
                <w:lang w:val="en-US"/>
              </w:rPr>
              <w:t>14th week: Basic knowledges of radioactivity. Alpha, beta and gamma radiations. Generating of X-ray radiation. Energy of radioactive radiations, ionizing radiations. Irradiation of foods by ionizing radiations.</w:t>
            </w:r>
          </w:p>
        </w:tc>
      </w:tr>
      <w:tr w:rsidR="004C6F44" w:rsidRPr="00782B03" w:rsidTr="00CD0962">
        <w:tc>
          <w:tcPr>
            <w:tcW w:w="9072" w:type="dxa"/>
            <w:tcBorders>
              <w:bottom w:val="dotted" w:sz="4" w:space="0" w:color="auto"/>
            </w:tcBorders>
            <w:tcMar>
              <w:top w:w="57" w:type="dxa"/>
              <w:bottom w:w="57" w:type="dxa"/>
            </w:tcMar>
          </w:tcPr>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4C6F44" w:rsidRPr="00782B03" w:rsidTr="00CD0962">
        <w:tc>
          <w:tcPr>
            <w:tcW w:w="9072" w:type="dxa"/>
            <w:tcBorders>
              <w:bottom w:val="dotted" w:sz="4" w:space="0" w:color="auto"/>
            </w:tcBorders>
            <w:tcMar>
              <w:top w:w="57" w:type="dxa"/>
              <w:bottom w:w="57" w:type="dxa"/>
            </w:tcMar>
          </w:tcPr>
          <w:p w:rsidR="004C6F44" w:rsidRPr="00782B03" w:rsidRDefault="004C6F44" w:rsidP="00CD0962">
            <w:pPr>
              <w:spacing w:before="60"/>
              <w:jc w:val="both"/>
              <w:rPr>
                <w:rFonts w:ascii="Arial" w:hAnsi="Arial" w:cs="Arial"/>
                <w:lang w:val="en-US"/>
              </w:rPr>
            </w:pPr>
            <w:r w:rsidRPr="00782B03">
              <w:rPr>
                <w:rFonts w:ascii="Arial" w:hAnsi="Arial" w:cs="Arial"/>
                <w:lang w:val="en-US"/>
              </w:rPr>
              <w:t>Skills to be learnt:</w:t>
            </w:r>
          </w:p>
          <w:p w:rsidR="004C6F44" w:rsidRPr="00782B03" w:rsidRDefault="004C6F44" w:rsidP="00CD0962">
            <w:pPr>
              <w:spacing w:before="60"/>
              <w:jc w:val="both"/>
              <w:rPr>
                <w:rFonts w:ascii="Arial" w:hAnsi="Arial" w:cs="Arial"/>
                <w:lang w:val="en-US"/>
              </w:rPr>
            </w:pPr>
            <w:r w:rsidRPr="00782B03">
              <w:rPr>
                <w:rFonts w:ascii="Arial" w:hAnsi="Arial" w:cs="Arial"/>
                <w:lang w:val="en-US"/>
              </w:rPr>
              <w:t>Deeping the theoretical knowledges by solving some practical exercises. To get adequate skills of discussing the lecture’s material. Basic practical knowledges on the really wide range of possibilities of Food Physics.</w:t>
            </w:r>
          </w:p>
          <w:p w:rsidR="004C6F44" w:rsidRPr="00782B03" w:rsidRDefault="004C6F44" w:rsidP="00CD0962">
            <w:pPr>
              <w:suppressAutoHyphens/>
              <w:ind w:left="34"/>
              <w:jc w:val="both"/>
              <w:rPr>
                <w:rFonts w:ascii="Arial" w:hAnsi="Arial" w:cs="Arial"/>
                <w:b/>
                <w:lang w:val="en-US"/>
              </w:rPr>
            </w:pPr>
            <w:r w:rsidRPr="00782B03">
              <w:rPr>
                <w:rFonts w:ascii="Arial" w:hAnsi="Arial" w:cs="Arial"/>
                <w:b/>
                <w:lang w:val="en-US"/>
              </w:rPr>
              <w:t>Schedule:</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1st week: Possible connections between systems and environment: open, closed and isolated systems. Homogenous, </w:t>
            </w:r>
            <w:proofErr w:type="spellStart"/>
            <w:r w:rsidRPr="00782B03">
              <w:rPr>
                <w:rFonts w:ascii="Arial" w:hAnsi="Arial" w:cs="Arial"/>
                <w:lang w:val="en-US"/>
              </w:rPr>
              <w:t>heterogenous</w:t>
            </w:r>
            <w:proofErr w:type="spellEnd"/>
            <w:r w:rsidRPr="00782B03">
              <w:rPr>
                <w:rFonts w:ascii="Arial" w:hAnsi="Arial" w:cs="Arial"/>
                <w:lang w:val="en-US"/>
              </w:rPr>
              <w:t xml:space="preserve"> and </w:t>
            </w:r>
            <w:proofErr w:type="spellStart"/>
            <w:r w:rsidRPr="00782B03">
              <w:rPr>
                <w:rFonts w:ascii="Arial" w:hAnsi="Arial" w:cs="Arial"/>
                <w:lang w:val="en-US"/>
              </w:rPr>
              <w:t>inhomogenous</w:t>
            </w:r>
            <w:proofErr w:type="spellEnd"/>
            <w:r w:rsidRPr="00782B03">
              <w:rPr>
                <w:rFonts w:ascii="Arial" w:hAnsi="Arial" w:cs="Arial"/>
                <w:lang w:val="en-US"/>
              </w:rPr>
              <w:t xml:space="preserve"> systems. </w:t>
            </w:r>
            <w:proofErr w:type="spellStart"/>
            <w:r w:rsidRPr="00782B03">
              <w:rPr>
                <w:rFonts w:ascii="Arial" w:hAnsi="Arial" w:cs="Arial"/>
                <w:lang w:val="en-US"/>
              </w:rPr>
              <w:t>Categorising</w:t>
            </w:r>
            <w:proofErr w:type="spellEnd"/>
            <w:r w:rsidRPr="00782B03">
              <w:rPr>
                <w:rFonts w:ascii="Arial" w:hAnsi="Arial" w:cs="Arial"/>
                <w:lang w:val="en-US"/>
              </w:rPr>
              <w:t xml:space="preserve"> of living organisms by the given aspects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2nd week: Methods for calculation of food’s water activity values. Connections between food’s water activity and shelf life.</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3rd week: Comparing of existing adsorption models: </w:t>
            </w:r>
            <w:proofErr w:type="spellStart"/>
            <w:r w:rsidRPr="00782B03">
              <w:rPr>
                <w:rFonts w:ascii="Arial" w:hAnsi="Arial" w:cs="Arial"/>
                <w:lang w:val="en-US"/>
              </w:rPr>
              <w:t>Freundlich</w:t>
            </w:r>
            <w:proofErr w:type="spellEnd"/>
            <w:r w:rsidRPr="00782B03">
              <w:rPr>
                <w:rFonts w:ascii="Arial" w:hAnsi="Arial" w:cs="Arial"/>
                <w:lang w:val="en-US"/>
              </w:rPr>
              <w:t>, Langmuir and BET models, theoretical and practical differences of the models. Absorption and adsorption influenced by temperature, pressure and solution concentration. Using adsorption and subsequent adsorption for separation of components.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4th week: Calculation of density by systems in different phases. The main density influencing factors.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5th week: Phase parameters: volume, pressure, temperature. Energy level modification during phase change. Phase diagram of water and dilute solutions.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6th week: Comparison of rigid, elastic and plastic rheological stages. Changes of energy demand for moving of plastic systems.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7th week: Importance of surface tension of liquid stage foods, fruit juices and alcohol containing beverages.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8th week: Permeability calculations for different food packaging materials. Permeability influencing during the production of packaging materials.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9th week: Physical, chemical and phase transition heats. </w:t>
            </w:r>
            <w:proofErr w:type="spellStart"/>
            <w:r w:rsidRPr="00782B03">
              <w:rPr>
                <w:rFonts w:ascii="Arial" w:hAnsi="Arial" w:cs="Arial"/>
                <w:lang w:val="en-US"/>
              </w:rPr>
              <w:t>Enthropy</w:t>
            </w:r>
            <w:proofErr w:type="spellEnd"/>
            <w:r w:rsidRPr="00782B03">
              <w:rPr>
                <w:rFonts w:ascii="Arial" w:hAnsi="Arial" w:cs="Arial"/>
                <w:lang w:val="en-US"/>
              </w:rPr>
              <w:t>, enthalpy – definitions and demonstrations. Procedure direction influencing factors.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10th week: Calorimetric calculations of foods digestion, usable energy, digestion energy and sum of energy. Energy efficiency.</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 xml:space="preserve">11th week: Electrical conductivity calculations of electrolyte solutions: phenomenon of </w:t>
            </w:r>
            <w:proofErr w:type="spellStart"/>
            <w:r w:rsidRPr="00782B03">
              <w:rPr>
                <w:rFonts w:ascii="Arial" w:hAnsi="Arial" w:cs="Arial"/>
                <w:lang w:val="en-US"/>
              </w:rPr>
              <w:t>eletrolytical</w:t>
            </w:r>
            <w:proofErr w:type="spellEnd"/>
            <w:r w:rsidRPr="00782B03">
              <w:rPr>
                <w:rFonts w:ascii="Arial" w:hAnsi="Arial" w:cs="Arial"/>
                <w:lang w:val="en-US"/>
              </w:rPr>
              <w:t xml:space="preserve"> dissociations.</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12th week: Demonstration of diamagnetic, paramagnetic and ferromagnetic characters of systems – their usability in the practice</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13th week: Analysis with the measurements of UV, VIS and IR light absorption spectrum. Lambert-Beer’s low.</w:t>
            </w:r>
          </w:p>
          <w:p w:rsidR="004C6F44" w:rsidRPr="00782B03" w:rsidRDefault="004C6F44" w:rsidP="00CD0962">
            <w:pPr>
              <w:ind w:left="346" w:hanging="346"/>
              <w:jc w:val="both"/>
              <w:rPr>
                <w:rFonts w:ascii="Arial" w:hAnsi="Arial" w:cs="Arial"/>
                <w:lang w:val="en-US"/>
              </w:rPr>
            </w:pPr>
            <w:r w:rsidRPr="00782B03">
              <w:rPr>
                <w:rFonts w:ascii="Arial" w:hAnsi="Arial" w:cs="Arial"/>
                <w:lang w:val="en-US"/>
              </w:rPr>
              <w:t>14th week: Using of ionizing gamma and X-ray radiations for the shelf-life extension of foodstuffs. Acceptance of this method by the wide range of the food consuming populations.</w:t>
            </w:r>
          </w:p>
        </w:tc>
      </w:tr>
      <w:tr w:rsidR="004C6F44" w:rsidRPr="00782B03" w:rsidTr="00CD0962">
        <w:tc>
          <w:tcPr>
            <w:tcW w:w="9072" w:type="dxa"/>
            <w:tcBorders>
              <w:top w:val="dotted" w:sz="4" w:space="0" w:color="auto"/>
              <w:bottom w:val="dotted" w:sz="4" w:space="0" w:color="auto"/>
            </w:tcBorders>
            <w:shd w:val="clear" w:color="auto" w:fill="FFF2CC"/>
            <w:tcMar>
              <w:top w:w="57" w:type="dxa"/>
              <w:bottom w:w="57" w:type="dxa"/>
            </w:tcMar>
            <w:vAlign w:val="center"/>
          </w:tcPr>
          <w:p w:rsidR="004C6F44" w:rsidRPr="00782B03" w:rsidRDefault="004C6F44" w:rsidP="00CD0962">
            <w:pPr>
              <w:suppressAutoHyphens/>
              <w:ind w:left="34"/>
              <w:jc w:val="both"/>
              <w:rPr>
                <w:rFonts w:ascii="Arial" w:hAnsi="Arial" w:cs="Arial"/>
                <w:b/>
                <w:i/>
                <w:lang w:val="en-US"/>
              </w:rPr>
            </w:pPr>
            <w:r w:rsidRPr="00782B03">
              <w:rPr>
                <w:rFonts w:ascii="Arial" w:hAnsi="Arial" w:cs="Arial"/>
                <w:b/>
                <w:i/>
                <w:lang w:val="en-US"/>
              </w:rPr>
              <w:t>Compulsory literature:</w:t>
            </w:r>
          </w:p>
          <w:p w:rsidR="004C6F44" w:rsidRPr="00782B03" w:rsidRDefault="004C6F44" w:rsidP="00CD0962">
            <w:pPr>
              <w:suppressAutoHyphens/>
              <w:jc w:val="both"/>
              <w:rPr>
                <w:rFonts w:ascii="Arial" w:hAnsi="Arial" w:cs="Arial"/>
                <w:lang w:val="en-US"/>
              </w:rPr>
            </w:pPr>
            <w:proofErr w:type="spellStart"/>
            <w:r w:rsidRPr="00782B03">
              <w:rPr>
                <w:rFonts w:ascii="Arial" w:hAnsi="Arial" w:cs="Arial"/>
                <w:lang w:val="en-US"/>
              </w:rPr>
              <w:t>Figura</w:t>
            </w:r>
            <w:proofErr w:type="spellEnd"/>
            <w:r w:rsidRPr="00782B03">
              <w:rPr>
                <w:rFonts w:ascii="Arial" w:hAnsi="Arial" w:cs="Arial"/>
                <w:lang w:val="en-US"/>
              </w:rPr>
              <w:t xml:space="preserve">, L.O. – </w:t>
            </w:r>
            <w:proofErr w:type="spellStart"/>
            <w:r w:rsidRPr="00782B03">
              <w:rPr>
                <w:rFonts w:ascii="Arial" w:hAnsi="Arial" w:cs="Arial"/>
                <w:lang w:val="en-US"/>
              </w:rPr>
              <w:t>Teixeria</w:t>
            </w:r>
            <w:proofErr w:type="spellEnd"/>
            <w:r w:rsidRPr="00782B03">
              <w:rPr>
                <w:rFonts w:ascii="Arial" w:hAnsi="Arial" w:cs="Arial"/>
                <w:lang w:val="en-US"/>
              </w:rPr>
              <w:t xml:space="preserve">, A.A. (2007): Food Physics. Physical properties – Measurement and Application. Springer </w:t>
            </w:r>
            <w:proofErr w:type="spellStart"/>
            <w:r w:rsidRPr="00782B03">
              <w:rPr>
                <w:rFonts w:ascii="Arial" w:hAnsi="Arial" w:cs="Arial"/>
                <w:lang w:val="en-US"/>
              </w:rPr>
              <w:t>Verlag</w:t>
            </w:r>
            <w:proofErr w:type="spellEnd"/>
            <w:r w:rsidRPr="00782B03">
              <w:rPr>
                <w:rFonts w:ascii="Arial" w:hAnsi="Arial" w:cs="Arial"/>
                <w:lang w:val="en-US"/>
              </w:rPr>
              <w:t>, Berlin-Heidelberg-New York. ISBN-13: 978-3-540-34191-8</w:t>
            </w:r>
          </w:p>
          <w:p w:rsidR="004C6F44" w:rsidRPr="00782B03" w:rsidRDefault="004C6F44" w:rsidP="00CD0962">
            <w:pPr>
              <w:suppressAutoHyphens/>
              <w:jc w:val="both"/>
              <w:rPr>
                <w:rFonts w:ascii="Arial" w:hAnsi="Arial" w:cs="Arial"/>
                <w:b/>
                <w:i/>
                <w:lang w:val="en-US"/>
              </w:rPr>
            </w:pPr>
            <w:r w:rsidRPr="00782B03">
              <w:rPr>
                <w:rFonts w:ascii="Arial" w:hAnsi="Arial" w:cs="Arial"/>
                <w:b/>
                <w:i/>
                <w:lang w:val="en-US"/>
              </w:rPr>
              <w:t>Optional literature:</w:t>
            </w:r>
          </w:p>
          <w:p w:rsidR="004C6F44" w:rsidRPr="00782B03" w:rsidRDefault="004C6F44" w:rsidP="00CD0962">
            <w:pPr>
              <w:suppressAutoHyphens/>
              <w:jc w:val="both"/>
              <w:rPr>
                <w:rFonts w:ascii="Arial" w:hAnsi="Arial" w:cs="Arial"/>
                <w:lang w:val="en-US"/>
              </w:rPr>
            </w:pPr>
            <w:proofErr w:type="spellStart"/>
            <w:r w:rsidRPr="00782B03">
              <w:rPr>
                <w:rFonts w:ascii="Arial" w:hAnsi="Arial" w:cs="Arial"/>
                <w:lang w:val="en-US"/>
              </w:rPr>
              <w:t>Figura</w:t>
            </w:r>
            <w:proofErr w:type="spellEnd"/>
            <w:r w:rsidRPr="00782B03">
              <w:rPr>
                <w:rFonts w:ascii="Arial" w:hAnsi="Arial" w:cs="Arial"/>
                <w:lang w:val="en-US"/>
              </w:rPr>
              <w:t xml:space="preserve">, L.O. (2004): </w:t>
            </w:r>
            <w:proofErr w:type="spellStart"/>
            <w:r w:rsidRPr="00782B03">
              <w:rPr>
                <w:rFonts w:ascii="Arial" w:hAnsi="Arial" w:cs="Arial"/>
                <w:lang w:val="en-US"/>
              </w:rPr>
              <w:t>Lebensmittelphysik</w:t>
            </w:r>
            <w:proofErr w:type="spellEnd"/>
            <w:r w:rsidRPr="00782B03">
              <w:rPr>
                <w:rFonts w:ascii="Arial" w:hAnsi="Arial" w:cs="Arial"/>
                <w:lang w:val="en-US"/>
              </w:rPr>
              <w:t xml:space="preserve">. </w:t>
            </w:r>
            <w:proofErr w:type="spellStart"/>
            <w:r w:rsidRPr="00782B03">
              <w:rPr>
                <w:rFonts w:ascii="Arial" w:hAnsi="Arial" w:cs="Arial"/>
                <w:lang w:val="en-US"/>
              </w:rPr>
              <w:t>Physikalische</w:t>
            </w:r>
            <w:proofErr w:type="spellEnd"/>
            <w:r w:rsidRPr="00782B03">
              <w:rPr>
                <w:rFonts w:ascii="Arial" w:hAnsi="Arial" w:cs="Arial"/>
                <w:lang w:val="en-US"/>
              </w:rPr>
              <w:t xml:space="preserve"> </w:t>
            </w:r>
            <w:proofErr w:type="spellStart"/>
            <w:r w:rsidRPr="00782B03">
              <w:rPr>
                <w:rFonts w:ascii="Arial" w:hAnsi="Arial" w:cs="Arial"/>
                <w:lang w:val="en-US"/>
              </w:rPr>
              <w:t>Kenngrößen</w:t>
            </w:r>
            <w:proofErr w:type="spellEnd"/>
            <w:r w:rsidRPr="00782B03">
              <w:rPr>
                <w:rFonts w:ascii="Arial" w:hAnsi="Arial" w:cs="Arial"/>
                <w:lang w:val="en-US"/>
              </w:rPr>
              <w:t xml:space="preserve"> – </w:t>
            </w:r>
            <w:proofErr w:type="spellStart"/>
            <w:r w:rsidRPr="00782B03">
              <w:rPr>
                <w:rFonts w:ascii="Arial" w:hAnsi="Arial" w:cs="Arial"/>
                <w:lang w:val="en-US"/>
              </w:rPr>
              <w:t>Messung</w:t>
            </w:r>
            <w:proofErr w:type="spellEnd"/>
            <w:r w:rsidRPr="00782B03">
              <w:rPr>
                <w:rFonts w:ascii="Arial" w:hAnsi="Arial" w:cs="Arial"/>
                <w:lang w:val="en-US"/>
              </w:rPr>
              <w:t xml:space="preserve"> und </w:t>
            </w:r>
            <w:proofErr w:type="spellStart"/>
            <w:r w:rsidRPr="00782B03">
              <w:rPr>
                <w:rFonts w:ascii="Arial" w:hAnsi="Arial" w:cs="Arial"/>
                <w:lang w:val="en-US"/>
              </w:rPr>
              <w:t>Anwendung</w:t>
            </w:r>
            <w:proofErr w:type="spellEnd"/>
            <w:r w:rsidRPr="00782B03">
              <w:rPr>
                <w:rFonts w:ascii="Arial" w:hAnsi="Arial" w:cs="Arial"/>
                <w:lang w:val="en-US"/>
              </w:rPr>
              <w:t xml:space="preserve">. Springer </w:t>
            </w:r>
            <w:proofErr w:type="spellStart"/>
            <w:r w:rsidRPr="00782B03">
              <w:rPr>
                <w:rFonts w:ascii="Arial" w:hAnsi="Arial" w:cs="Arial"/>
                <w:lang w:val="en-US"/>
              </w:rPr>
              <w:t>Verlag</w:t>
            </w:r>
            <w:proofErr w:type="spellEnd"/>
            <w:r w:rsidRPr="00782B03">
              <w:rPr>
                <w:rFonts w:ascii="Arial" w:hAnsi="Arial" w:cs="Arial"/>
                <w:lang w:val="en-US"/>
              </w:rPr>
              <w:t>, Berlin-Heidelberg-New York. ISBN-10: 3-540-20337-0</w:t>
            </w:r>
          </w:p>
        </w:tc>
      </w:tr>
      <w:tr w:rsidR="004C6F44" w:rsidRPr="00782B03" w:rsidTr="00CD0962">
        <w:tc>
          <w:tcPr>
            <w:tcW w:w="9072" w:type="dxa"/>
            <w:tcBorders>
              <w:bottom w:val="dotted" w:sz="4" w:space="0" w:color="auto"/>
            </w:tcBorders>
            <w:tcMar>
              <w:top w:w="57" w:type="dxa"/>
              <w:bottom w:w="57" w:type="dxa"/>
            </w:tcMar>
            <w:vAlign w:val="center"/>
          </w:tcPr>
          <w:p w:rsidR="004C6F44" w:rsidRPr="00782B03" w:rsidRDefault="004C6F44" w:rsidP="00CD0962">
            <w:pPr>
              <w:suppressAutoHyphens/>
              <w:jc w:val="both"/>
              <w:rPr>
                <w:rFonts w:ascii="Arial" w:hAnsi="Arial" w:cs="Arial"/>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4C6F44" w:rsidRPr="00782B03" w:rsidTr="00CD0962">
        <w:trPr>
          <w:trHeight w:val="296"/>
        </w:trPr>
        <w:tc>
          <w:tcPr>
            <w:tcW w:w="9072" w:type="dxa"/>
            <w:tcBorders>
              <w:top w:val="dotted" w:sz="4" w:space="0" w:color="auto"/>
            </w:tcBorders>
            <w:shd w:val="clear" w:color="auto" w:fill="FFF2CC"/>
            <w:tcMar>
              <w:top w:w="57" w:type="dxa"/>
              <w:bottom w:w="57" w:type="dxa"/>
            </w:tcMar>
          </w:tcPr>
          <w:p w:rsidR="004C6F44" w:rsidRPr="00782B03" w:rsidRDefault="004C6F44" w:rsidP="004C6F44">
            <w:pPr>
              <w:numPr>
                <w:ilvl w:val="0"/>
                <w:numId w:val="9"/>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4C6F44" w:rsidRPr="00782B03" w:rsidRDefault="004C6F44" w:rsidP="00CD0962">
            <w:pPr>
              <w:tabs>
                <w:tab w:val="left" w:pos="317"/>
              </w:tabs>
              <w:suppressAutoHyphens/>
              <w:ind w:left="176"/>
              <w:jc w:val="both"/>
              <w:rPr>
                <w:rFonts w:ascii="Arial" w:hAnsi="Arial" w:cs="Arial"/>
                <w:lang w:val="en-US"/>
              </w:rPr>
            </w:pPr>
            <w:r w:rsidRPr="00782B03">
              <w:rPr>
                <w:rFonts w:ascii="Arial" w:hAnsi="Arial" w:cs="Arial"/>
                <w:lang w:val="en-US"/>
              </w:rPr>
              <w:t>Students learn about the general and specific characteristics of food physics, their boundaries, their directions of development, and their attachment to related subjects. Students know the usability of basic Food Physics in their own profession.</w:t>
            </w:r>
          </w:p>
          <w:p w:rsidR="004C6F44" w:rsidRPr="00782B03" w:rsidRDefault="004C6F44" w:rsidP="004C6F44">
            <w:pPr>
              <w:numPr>
                <w:ilvl w:val="0"/>
                <w:numId w:val="9"/>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Ability</w:t>
            </w:r>
          </w:p>
          <w:p w:rsidR="004C6F44" w:rsidRPr="00782B03" w:rsidRDefault="004C6F44" w:rsidP="00CD0962">
            <w:pPr>
              <w:tabs>
                <w:tab w:val="left" w:pos="317"/>
              </w:tabs>
              <w:suppressAutoHyphens/>
              <w:ind w:left="176"/>
              <w:jc w:val="both"/>
              <w:rPr>
                <w:rFonts w:ascii="Arial" w:hAnsi="Arial" w:cs="Arial"/>
                <w:lang w:val="en-US"/>
              </w:rPr>
            </w:pPr>
            <w:r w:rsidRPr="00782B03">
              <w:rPr>
                <w:rFonts w:ascii="Arial" w:hAnsi="Arial" w:cs="Arial"/>
                <w:lang w:val="en-US"/>
              </w:rPr>
              <w:t>Physical theories and related terminologies can be used in innovative ways to solve the actual problems of food processing.</w:t>
            </w:r>
          </w:p>
          <w:p w:rsidR="004C6F44" w:rsidRPr="00782B03" w:rsidRDefault="004C6F44" w:rsidP="004C6F44">
            <w:pPr>
              <w:numPr>
                <w:ilvl w:val="0"/>
                <w:numId w:val="9"/>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4C6F44" w:rsidRPr="00782B03" w:rsidRDefault="004C6F44" w:rsidP="00CD0962">
            <w:pPr>
              <w:suppressAutoHyphens/>
              <w:ind w:left="176"/>
              <w:jc w:val="both"/>
              <w:rPr>
                <w:rFonts w:ascii="Arial" w:hAnsi="Arial" w:cs="Arial"/>
                <w:lang w:val="en-US"/>
              </w:rPr>
            </w:pPr>
            <w:r w:rsidRPr="00782B03">
              <w:rPr>
                <w:rFonts w:ascii="Arial" w:hAnsi="Arial" w:cs="Arial"/>
                <w:lang w:val="en-US"/>
              </w:rPr>
              <w:t>The student has a strong professional identity and professionalism that she/he can take for professional and wider social community.</w:t>
            </w:r>
          </w:p>
          <w:p w:rsidR="004C6F44" w:rsidRPr="00782B03" w:rsidRDefault="004C6F44" w:rsidP="004C6F44">
            <w:pPr>
              <w:numPr>
                <w:ilvl w:val="0"/>
                <w:numId w:val="9"/>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Autonomy and responsibility:</w:t>
            </w:r>
          </w:p>
          <w:p w:rsidR="004C6F44" w:rsidRPr="00782B03" w:rsidRDefault="004C6F44" w:rsidP="00CD0962">
            <w:pPr>
              <w:suppressAutoHyphens/>
              <w:ind w:left="176"/>
              <w:jc w:val="both"/>
              <w:rPr>
                <w:rFonts w:ascii="Arial" w:hAnsi="Arial" w:cs="Arial"/>
                <w:lang w:val="en-US"/>
              </w:rPr>
            </w:pPr>
            <w:r w:rsidRPr="00782B03">
              <w:rPr>
                <w:rFonts w:ascii="Arial" w:hAnsi="Arial" w:cs="Arial"/>
                <w:lang w:val="en-US"/>
              </w:rPr>
              <w:t>Students see the importance of food physical knowledge so that it can formally incorporate in related primer and subject matter into further studies and at the end of their studies. Students will be able to autonomously and responsibly use the knowledge acquired in the course of their work in a deliberate manner.</w:t>
            </w:r>
          </w:p>
        </w:tc>
      </w:tr>
    </w:tbl>
    <w:p w:rsidR="004C6F44" w:rsidRPr="00782B03" w:rsidRDefault="004C6F44" w:rsidP="004C6F44">
      <w:pPr>
        <w:suppressAutoHyphens/>
        <w:jc w:val="both"/>
        <w:rPr>
          <w:rFonts w:ascii="Arial"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C6F44" w:rsidRPr="00782B03" w:rsidTr="00CD0962">
        <w:trPr>
          <w:trHeight w:val="338"/>
        </w:trPr>
        <w:tc>
          <w:tcPr>
            <w:tcW w:w="9072" w:type="dxa"/>
            <w:tcMar>
              <w:top w:w="57" w:type="dxa"/>
              <w:bottom w:w="57" w:type="dxa"/>
            </w:tcMar>
          </w:tcPr>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Responsible lecturer:</w:t>
            </w:r>
          </w:p>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 xml:space="preserve">Assoc. Professor Dr. </w:t>
            </w:r>
            <w:proofErr w:type="spellStart"/>
            <w:r w:rsidRPr="00782B03">
              <w:rPr>
                <w:rFonts w:ascii="Arial" w:hAnsi="Arial" w:cs="Arial"/>
                <w:b/>
                <w:lang w:val="en-US"/>
              </w:rPr>
              <w:t>habil</w:t>
            </w:r>
            <w:proofErr w:type="spellEnd"/>
            <w:r w:rsidRPr="00782B03">
              <w:rPr>
                <w:rFonts w:ascii="Arial" w:hAnsi="Arial" w:cs="Arial"/>
                <w:b/>
                <w:lang w:val="en-US"/>
              </w:rPr>
              <w:t xml:space="preserve">. </w:t>
            </w:r>
            <w:proofErr w:type="spellStart"/>
            <w:r w:rsidRPr="00782B03">
              <w:rPr>
                <w:rFonts w:ascii="Arial" w:hAnsi="Arial" w:cs="Arial"/>
                <w:b/>
                <w:lang w:val="en-US"/>
              </w:rPr>
              <w:t>Imre</w:t>
            </w:r>
            <w:proofErr w:type="spellEnd"/>
            <w:r w:rsidRPr="00782B03">
              <w:rPr>
                <w:rFonts w:ascii="Arial" w:hAnsi="Arial" w:cs="Arial"/>
                <w:b/>
                <w:lang w:val="en-US"/>
              </w:rPr>
              <w:t xml:space="preserve"> </w:t>
            </w:r>
            <w:proofErr w:type="spellStart"/>
            <w:r w:rsidRPr="00782B03">
              <w:rPr>
                <w:rFonts w:ascii="Arial" w:hAnsi="Arial" w:cs="Arial"/>
                <w:b/>
                <w:lang w:val="en-US"/>
              </w:rPr>
              <w:t>Vágó</w:t>
            </w:r>
            <w:proofErr w:type="spellEnd"/>
            <w:r w:rsidRPr="00782B03">
              <w:rPr>
                <w:rFonts w:ascii="Arial" w:hAnsi="Arial" w:cs="Arial"/>
                <w:b/>
                <w:lang w:val="en-US"/>
              </w:rPr>
              <w:t xml:space="preserve">, </w:t>
            </w:r>
            <w:proofErr w:type="spellStart"/>
            <w:r w:rsidRPr="00782B03">
              <w:rPr>
                <w:rFonts w:ascii="Arial" w:hAnsi="Arial" w:cs="Arial"/>
                <w:b/>
                <w:lang w:val="en-US"/>
              </w:rPr>
              <w:t>CSc</w:t>
            </w:r>
            <w:proofErr w:type="spellEnd"/>
            <w:r w:rsidRPr="00782B03">
              <w:rPr>
                <w:rFonts w:ascii="Arial" w:hAnsi="Arial" w:cs="Arial"/>
                <w:b/>
                <w:lang w:val="en-US"/>
              </w:rPr>
              <w:t>, deputy head of Institute</w:t>
            </w:r>
          </w:p>
        </w:tc>
      </w:tr>
      <w:tr w:rsidR="004C6F44" w:rsidRPr="00782B03" w:rsidTr="00CD0962">
        <w:trPr>
          <w:trHeight w:val="337"/>
        </w:trPr>
        <w:tc>
          <w:tcPr>
            <w:tcW w:w="9072" w:type="dxa"/>
            <w:tcMar>
              <w:top w:w="57" w:type="dxa"/>
              <w:bottom w:w="57" w:type="dxa"/>
            </w:tcMar>
          </w:tcPr>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Other lecturer:-</w:t>
            </w:r>
          </w:p>
        </w:tc>
      </w:tr>
      <w:tr w:rsidR="004C6F44" w:rsidRPr="00782B03" w:rsidTr="00CD0962">
        <w:trPr>
          <w:trHeight w:val="337"/>
        </w:trPr>
        <w:tc>
          <w:tcPr>
            <w:tcW w:w="9072" w:type="dxa"/>
            <w:tcMar>
              <w:top w:w="57" w:type="dxa"/>
              <w:bottom w:w="57" w:type="dxa"/>
            </w:tcMar>
          </w:tcPr>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Form of examination:</w:t>
            </w:r>
          </w:p>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 xml:space="preserve">Oral and/or written </w:t>
            </w:r>
            <w:r w:rsidRPr="00782B03">
              <w:rPr>
                <w:rFonts w:ascii="Arial" w:hAnsi="Arial" w:cs="Arial"/>
                <w:lang w:val="en-US"/>
              </w:rPr>
              <w:t>(only if the practice is signed)</w:t>
            </w:r>
          </w:p>
        </w:tc>
      </w:tr>
      <w:tr w:rsidR="004C6F44" w:rsidRPr="00782B03" w:rsidTr="00CD0962">
        <w:trPr>
          <w:trHeight w:val="337"/>
        </w:trPr>
        <w:tc>
          <w:tcPr>
            <w:tcW w:w="9072" w:type="dxa"/>
            <w:tcMar>
              <w:top w:w="57" w:type="dxa"/>
              <w:bottom w:w="57" w:type="dxa"/>
            </w:tcMar>
          </w:tcPr>
          <w:p w:rsidR="004C6F44" w:rsidRPr="00782B03" w:rsidRDefault="004C6F44" w:rsidP="00CD0962">
            <w:pPr>
              <w:suppressAutoHyphens/>
              <w:spacing w:before="60"/>
              <w:jc w:val="both"/>
              <w:rPr>
                <w:rFonts w:ascii="Arial" w:hAnsi="Arial" w:cs="Arial"/>
                <w:b/>
                <w:lang w:val="en-US"/>
              </w:rPr>
            </w:pPr>
            <w:r w:rsidRPr="00782B03">
              <w:rPr>
                <w:rFonts w:ascii="Arial" w:hAnsi="Arial" w:cs="Arial"/>
                <w:b/>
                <w:lang w:val="en-US"/>
              </w:rPr>
              <w:t>Requirement(s) to get signature:</w:t>
            </w:r>
          </w:p>
          <w:p w:rsidR="004C6F44" w:rsidRPr="00782B03" w:rsidRDefault="004C6F44" w:rsidP="00CD0962">
            <w:pPr>
              <w:suppressAutoHyphens/>
              <w:ind w:left="176"/>
              <w:jc w:val="both"/>
              <w:rPr>
                <w:rFonts w:ascii="Arial" w:hAnsi="Arial" w:cs="Arial"/>
                <w:lang w:val="en-US"/>
              </w:rPr>
            </w:pPr>
            <w:r w:rsidRPr="00782B03">
              <w:rPr>
                <w:rFonts w:ascii="Arial" w:hAnsi="Arial" w:cs="Arial"/>
                <w:lang w:val="en-US"/>
              </w:rPr>
              <w:t>Attendance at lectures is not compulsory, but highly recommended!</w:t>
            </w:r>
          </w:p>
          <w:p w:rsidR="004C6F44" w:rsidRPr="00782B03" w:rsidRDefault="004C6F44" w:rsidP="00CD0962">
            <w:pPr>
              <w:suppressAutoHyphens/>
              <w:ind w:left="176"/>
              <w:jc w:val="both"/>
              <w:rPr>
                <w:rFonts w:ascii="Arial" w:hAnsi="Arial" w:cs="Arial"/>
                <w:lang w:val="en-US"/>
              </w:rPr>
            </w:pPr>
            <w:r w:rsidRPr="00782B03">
              <w:rPr>
                <w:rFonts w:ascii="Arial" w:hAnsi="Arial" w:cs="Arial"/>
                <w:lang w:val="en-US"/>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w:t>
            </w:r>
            <w:proofErr w:type="spellStart"/>
            <w:r w:rsidRPr="00782B03">
              <w:rPr>
                <w:rFonts w:ascii="Arial" w:hAnsi="Arial" w:cs="Arial"/>
                <w:lang w:val="en-US"/>
              </w:rPr>
              <w:t>ppt</w:t>
            </w:r>
            <w:proofErr w:type="spellEnd"/>
            <w:r w:rsidRPr="00782B03">
              <w:rPr>
                <w:rFonts w:ascii="Arial" w:hAnsi="Arial" w:cs="Arial"/>
                <w:lang w:val="en-US"/>
              </w:rPr>
              <w:t>-presentations.</w:t>
            </w:r>
          </w:p>
        </w:tc>
      </w:tr>
    </w:tbl>
    <w:p w:rsidR="00F42A96" w:rsidRPr="004C6F44" w:rsidRDefault="00F42A96" w:rsidP="004C6F44"/>
    <w:sectPr w:rsidR="00F42A96" w:rsidRPr="004C6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7"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6"/>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777F0"/>
    <w:rsid w:val="00381B14"/>
    <w:rsid w:val="004600AD"/>
    <w:rsid w:val="004C6F44"/>
    <w:rsid w:val="00576CBA"/>
    <w:rsid w:val="00582EF4"/>
    <w:rsid w:val="00632521"/>
    <w:rsid w:val="0067754A"/>
    <w:rsid w:val="006813B6"/>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6928</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2019-08-28T09:49:00Z</dcterms:created>
  <dcterms:modified xsi:type="dcterms:W3CDTF">2019-08-28T09:49:00Z</dcterms:modified>
</cp:coreProperties>
</file>