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0"/>
        <w:gridCol w:w="2552"/>
      </w:tblGrid>
      <w:tr w:rsidR="00D77BED" w:rsidRPr="004B40E4" w:rsidTr="00CD0962"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Code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77BED" w:rsidRPr="004B40E4" w:rsidRDefault="00D77BED" w:rsidP="00CD096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GoBack"/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Aspects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Processing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MTMEL7023A</w:t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ECTS Credit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Points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 4</w:t>
            </w:r>
          </w:p>
        </w:tc>
      </w:tr>
      <w:tr w:rsidR="00D77BED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optional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77BED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Ratio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theory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: 100/0 </w:t>
            </w:r>
            <w:r w:rsidRPr="004B40E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credit%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77BED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classes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42 </w:t>
            </w:r>
            <w:proofErr w:type="spellStart"/>
            <w:proofErr w:type="gramStart"/>
            <w:r w:rsidRPr="004B40E4">
              <w:rPr>
                <w:rFonts w:ascii="Arial" w:hAnsi="Arial" w:cs="Arial"/>
                <w:sz w:val="22"/>
                <w:szCs w:val="22"/>
              </w:rPr>
              <w:t>hour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lecture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0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hour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BED" w:rsidRPr="004B40E4" w:rsidRDefault="00D77BED" w:rsidP="00CD09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teaching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hours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week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3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hours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lecture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week</w:t>
            </w:r>
            <w:proofErr w:type="spellEnd"/>
          </w:p>
        </w:tc>
      </w:tr>
      <w:tr w:rsidR="00D77BED" w:rsidRPr="004B40E4" w:rsidTr="00CD0962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</w:t>
            </w:r>
            <w:proofErr w:type="spellEnd"/>
          </w:p>
        </w:tc>
      </w:tr>
      <w:tr w:rsidR="00D77BED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curriculum: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4B40E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</w:tr>
      <w:tr w:rsidR="00D77BED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D77BED" w:rsidRPr="004B40E4" w:rsidRDefault="00D77BED" w:rsidP="00D77B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77BED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D77BED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objectives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77BED" w:rsidRPr="004B40E4" w:rsidRDefault="00D77BED" w:rsidP="00CD0962">
            <w:pPr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</w:rPr>
            </w:pP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Basics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status of a country.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Definition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structure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development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management.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Natural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continuous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non-renewable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renewable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natural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concept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elements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pollution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causes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forms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Air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pollution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pollution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control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Soil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contamination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degradation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soil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contamination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contaminants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erosion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Water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pollution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against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pollution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Water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water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Water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Management.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Noise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vibration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Waste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management: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concept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waste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scope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agri-environmental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management.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Hungarian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example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impact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agricultural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aspects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animal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husbandry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impact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assessments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impacts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Specific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Specific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II.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Cleaner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techniques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management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8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Life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cycle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indicators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BAT (Best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Available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Techniques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D77BED" w:rsidRPr="004B40E4" w:rsidRDefault="00D77BED" w:rsidP="00CD0962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BED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 -</w:t>
            </w:r>
          </w:p>
        </w:tc>
      </w:tr>
      <w:tr w:rsidR="00D77BED" w:rsidRPr="004B40E4" w:rsidTr="00CD09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BED" w:rsidRPr="004B40E4" w:rsidRDefault="00D77BED" w:rsidP="00CD0962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Literature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handbooks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English </w:t>
            </w:r>
          </w:p>
        </w:tc>
      </w:tr>
      <w:tr w:rsidR="00D77BED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77BED" w:rsidRPr="004B40E4" w:rsidRDefault="00D77BED" w:rsidP="00CD0962">
            <w:pPr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7BED" w:rsidRPr="004B40E4" w:rsidRDefault="00D77BED" w:rsidP="00D77BED">
            <w:pPr>
              <w:widowControl/>
              <w:numPr>
                <w:ilvl w:val="0"/>
                <w:numId w:val="2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 xml:space="preserve">J. C. Lovett- D. G.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Ockwell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.: 2010. A Handbook of Environmental Management.</w:t>
            </w:r>
          </w:p>
          <w:p w:rsidR="00D77BED" w:rsidRPr="004B40E4" w:rsidRDefault="00D77BED" w:rsidP="00D77BED">
            <w:pPr>
              <w:widowControl/>
              <w:numPr>
                <w:ilvl w:val="0"/>
                <w:numId w:val="2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 xml:space="preserve">J.M.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Blais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 xml:space="preserve">, M. Rosen, J.P.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Smol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.: 2015. Environmental Contaminants.</w:t>
            </w:r>
          </w:p>
          <w:p w:rsidR="00D77BED" w:rsidRPr="004B40E4" w:rsidRDefault="00D77BED" w:rsidP="00D77BED">
            <w:pPr>
              <w:widowControl/>
              <w:numPr>
                <w:ilvl w:val="0"/>
                <w:numId w:val="2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 xml:space="preserve">A. S.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Kalamdhad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 xml:space="preserve">, J. Singh, K.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Dhamodharan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.: 2016. Advances in Waste Management.</w:t>
            </w:r>
          </w:p>
          <w:p w:rsidR="00D77BED" w:rsidRPr="004B40E4" w:rsidRDefault="00D77BED" w:rsidP="00D77BED">
            <w:pPr>
              <w:widowControl/>
              <w:numPr>
                <w:ilvl w:val="0"/>
                <w:numId w:val="2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V. I. Grover.: 2006. Water: Global Common and Global Problems.</w:t>
            </w:r>
          </w:p>
          <w:p w:rsidR="00D77BED" w:rsidRPr="004B40E4" w:rsidRDefault="00D77BED" w:rsidP="00CD0962">
            <w:pPr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77BED" w:rsidRPr="004B40E4" w:rsidTr="00CD09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BED" w:rsidRPr="004B40E4" w:rsidRDefault="00D77BED" w:rsidP="00CD0962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Competencies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gained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acc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Regulation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training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outcome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iCs/>
                <w:sz w:val="22"/>
                <w:szCs w:val="22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D77BED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77BED" w:rsidRPr="004B40E4" w:rsidRDefault="00D77BED" w:rsidP="00D77BED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know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specificities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agricultural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industry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processes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taking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detail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addition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know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recognize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relationships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between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know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relations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among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economy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society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agricultural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sector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evaluate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report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complex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chain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analyzes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cross-sectoral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context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Attitude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77BED" w:rsidRPr="004B40E4" w:rsidRDefault="00D77BED" w:rsidP="00D77BED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asked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open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motivated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responsive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knowledge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application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modern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innovative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procedures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open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paradigm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changes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science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Autonomy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77BED" w:rsidRPr="004B40E4" w:rsidRDefault="00D77BED" w:rsidP="00D77BED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reveal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connections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disciplines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assume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responsibility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bear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consequences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fields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expertise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also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take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responsibility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health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consumer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impacts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decision-making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situations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77BED" w:rsidRPr="004B40E4" w:rsidRDefault="00D77BED" w:rsidP="00D77B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77BED" w:rsidRPr="004B40E4" w:rsidTr="00CD096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: János Tamás,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DSc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. professor</w:t>
            </w:r>
          </w:p>
        </w:tc>
      </w:tr>
      <w:tr w:rsidR="00D77BED" w:rsidRPr="004B40E4" w:rsidTr="00CD096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s): 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Attila Nagy,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val="en-US"/>
              </w:rPr>
              <w:t>Phd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val="en-US"/>
              </w:rPr>
              <w:t>assoc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prof.</w:t>
            </w:r>
          </w:p>
        </w:tc>
      </w:tr>
    </w:tbl>
    <w:p w:rsidR="00D77BED" w:rsidRPr="004B40E4" w:rsidRDefault="00D77BED" w:rsidP="00D77B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77BED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Terms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completion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77BED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77BED" w:rsidRPr="004B40E4" w:rsidRDefault="00D77BED" w:rsidP="00D77BED">
            <w:pPr>
              <w:pStyle w:val="Listaszerbekezds"/>
              <w:numPr>
                <w:ilvl w:val="0"/>
                <w:numId w:val="20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Active participation at the lessons is required.</w:t>
            </w:r>
          </w:p>
        </w:tc>
      </w:tr>
      <w:tr w:rsidR="00D77BED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examination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77BED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Written exam</w:t>
            </w:r>
          </w:p>
        </w:tc>
      </w:tr>
      <w:tr w:rsidR="00D77BED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get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77BED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tabs>
                <w:tab w:val="left" w:pos="127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7BED" w:rsidRPr="004B40E4" w:rsidRDefault="00D77BED" w:rsidP="00CD0962">
            <w:pPr>
              <w:tabs>
                <w:tab w:val="left" w:pos="127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is 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possibility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take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last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week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teching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period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optional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grade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above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satisfactory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(3)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will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written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NEPTUN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offered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grade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which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accepted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denied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CD0962">
            <w:pPr>
              <w:tabs>
                <w:tab w:val="left" w:pos="127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7BED" w:rsidRPr="004B40E4" w:rsidRDefault="00D77BED" w:rsidP="00CD0962">
            <w:pPr>
              <w:tabs>
                <w:tab w:val="left" w:pos="127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also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examination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period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who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didn’t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attended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denied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offered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grade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general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grade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given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according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followings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77BED" w:rsidRPr="004B40E4" w:rsidRDefault="00D77BED" w:rsidP="00CD0962">
            <w:pPr>
              <w:tabs>
                <w:tab w:val="left" w:pos="127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sz w:val="22"/>
                <w:szCs w:val="22"/>
              </w:rPr>
              <w:t>Score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Grade</w:t>
            </w:r>
            <w:proofErr w:type="spellEnd"/>
            <w:proofErr w:type="gramEnd"/>
          </w:p>
          <w:p w:rsidR="00D77BED" w:rsidRPr="004B40E4" w:rsidRDefault="00D77BED" w:rsidP="00CD0962">
            <w:pPr>
              <w:tabs>
                <w:tab w:val="left" w:pos="127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0-50 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</w:rPr>
              <w:t xml:space="preserve">%       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fail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</w:rPr>
              <w:t xml:space="preserve"> (1) </w:t>
            </w:r>
          </w:p>
          <w:p w:rsidR="00D77BED" w:rsidRPr="004B40E4" w:rsidRDefault="00D77BED" w:rsidP="00CD0962">
            <w:pPr>
              <w:tabs>
                <w:tab w:val="left" w:pos="127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50-62,5 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</w:rPr>
              <w:t xml:space="preserve">%  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pass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</w:rPr>
              <w:t xml:space="preserve"> (2)</w:t>
            </w:r>
          </w:p>
          <w:p w:rsidR="00D77BED" w:rsidRPr="004B40E4" w:rsidRDefault="00D77BED" w:rsidP="00CD0962">
            <w:pPr>
              <w:tabs>
                <w:tab w:val="left" w:pos="127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62,5-75 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</w:rPr>
              <w:t xml:space="preserve">%  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satisfactory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</w:rPr>
              <w:t xml:space="preserve"> (3)</w:t>
            </w:r>
          </w:p>
          <w:p w:rsidR="00D77BED" w:rsidRPr="004B40E4" w:rsidRDefault="00D77BED" w:rsidP="00CD0962">
            <w:pPr>
              <w:tabs>
                <w:tab w:val="left" w:pos="127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75-87,5 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</w:rPr>
              <w:t xml:space="preserve">%  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good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</w:rPr>
              <w:t xml:space="preserve"> (4)</w:t>
            </w:r>
          </w:p>
          <w:p w:rsidR="00D77BED" w:rsidRPr="004B40E4" w:rsidRDefault="00D77BED" w:rsidP="00CD0962">
            <w:pPr>
              <w:tabs>
                <w:tab w:val="left" w:pos="1277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87,5-100 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</w:rPr>
              <w:t xml:space="preserve">%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excellent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</w:rPr>
              <w:t xml:space="preserve"> (5)</w:t>
            </w:r>
          </w:p>
          <w:p w:rsidR="00D77BED" w:rsidRPr="004B40E4" w:rsidRDefault="00D77BED" w:rsidP="00CD0962">
            <w:pPr>
              <w:tabs>
                <w:tab w:val="left" w:pos="1277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7BED" w:rsidRPr="004B40E4" w:rsidRDefault="00D77BED" w:rsidP="00D77B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77BED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77BED" w:rsidRPr="004B40E4" w:rsidRDefault="00D77BED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77BED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lastRenderedPageBreak/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status of an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example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country.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Development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management.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Natural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continuous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non-renewable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non-renewable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renewable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natural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Concept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elements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causes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forms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pollution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Air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pollution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pollution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control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Soil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contamination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degradation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Soil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contamination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contaminants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erosion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Water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pollution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pollution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control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Water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water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Water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management.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Noise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vibration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Waste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management: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concept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waste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International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Hungarian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agri-environmental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management.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aspects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aspects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animal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husbandry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impact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assessments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impacts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Specific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Cleaner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techniques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management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7BED" w:rsidRPr="004B40E4" w:rsidRDefault="00D77BED" w:rsidP="00D77BED">
            <w:pPr>
              <w:pStyle w:val="Listaszerbekezds"/>
              <w:numPr>
                <w:ilvl w:val="0"/>
                <w:numId w:val="2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Life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cycle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indicators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 BAT.</w:t>
            </w:r>
          </w:p>
        </w:tc>
      </w:tr>
    </w:tbl>
    <w:p w:rsidR="00F42A96" w:rsidRPr="00D77BED" w:rsidRDefault="00F42A96" w:rsidP="00D77BED"/>
    <w:sectPr w:rsidR="00F42A96" w:rsidRPr="00D7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EE911D8"/>
    <w:multiLevelType w:val="hybridMultilevel"/>
    <w:tmpl w:val="EBBE5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C20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BE53A57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2582430"/>
    <w:multiLevelType w:val="hybridMultilevel"/>
    <w:tmpl w:val="FE8843E6"/>
    <w:lvl w:ilvl="0" w:tplc="B4AE20F2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CE00E6D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3457"/>
    <w:multiLevelType w:val="hybridMultilevel"/>
    <w:tmpl w:val="1C205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74D1"/>
    <w:multiLevelType w:val="hybridMultilevel"/>
    <w:tmpl w:val="77C07BF6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5FB040FE"/>
    <w:multiLevelType w:val="hybridMultilevel"/>
    <w:tmpl w:val="103E966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1709E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2F73BEE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441D"/>
    <w:multiLevelType w:val="hybridMultilevel"/>
    <w:tmpl w:val="5C4E9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F750D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3"/>
  </w:num>
  <w:num w:numId="5">
    <w:abstractNumId w:val="18"/>
  </w:num>
  <w:num w:numId="6">
    <w:abstractNumId w:val="6"/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8"/>
  </w:num>
  <w:num w:numId="20">
    <w:abstractNumId w:val="1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5D5B8C"/>
    <w:rsid w:val="00D77BED"/>
    <w:rsid w:val="00D919D0"/>
    <w:rsid w:val="00F42A96"/>
    <w:rsid w:val="00F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2019-08-28T12:07:00Z</dcterms:created>
  <dcterms:modified xsi:type="dcterms:W3CDTF">2019-08-28T12:07:00Z</dcterms:modified>
</cp:coreProperties>
</file>