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2877"/>
      </w:tblGrid>
      <w:tr w:rsidR="00BD6692" w:rsidRPr="00782B03" w:rsidTr="00CD0962">
        <w:tc>
          <w:tcPr>
            <w:tcW w:w="60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Title and Code</w:t>
            </w:r>
            <w:r w:rsidRPr="00782B03">
              <w:rPr>
                <w:rFonts w:ascii="Arial" w:hAnsi="Arial" w:cs="Arial"/>
                <w:lang w:val="en-US"/>
              </w:rPr>
              <w:t xml:space="preserve"> of the subject:</w:t>
            </w:r>
          </w:p>
          <w:p w:rsidR="00BD6692" w:rsidRPr="00782B03" w:rsidRDefault="00BD6692" w:rsidP="00CD0962">
            <w:pPr>
              <w:suppressAutoHyphens/>
              <w:spacing w:before="120" w:after="120" w:line="256" w:lineRule="auto"/>
              <w:jc w:val="both"/>
              <w:rPr>
                <w:rFonts w:ascii="Arial" w:eastAsia="Times New Roman" w:hAnsi="Arial" w:cs="Arial"/>
                <w:b/>
                <w:i/>
                <w:lang w:val="en-US"/>
              </w:rPr>
            </w:pPr>
            <w:bookmarkStart w:id="0" w:name="_GoBack"/>
            <w:r w:rsidRPr="00782B03">
              <w:rPr>
                <w:rFonts w:ascii="Arial" w:hAnsi="Arial" w:cs="Arial"/>
                <w:b/>
                <w:bCs/>
                <w:lang w:val="en-US"/>
              </w:rPr>
              <w:t>Economic sciences I., MTB7020A</w:t>
            </w:r>
            <w:bookmarkEnd w:id="0"/>
          </w:p>
        </w:tc>
        <w:tc>
          <w:tcPr>
            <w:tcW w:w="29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ECTS Credit Points: 4</w:t>
            </w:r>
          </w:p>
        </w:tc>
      </w:tr>
      <w:tr w:rsidR="00BD6692"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bCs/>
                <w:u w:val="single"/>
                <w:lang w:val="en-US"/>
              </w:rPr>
              <w:t>compulsory</w:t>
            </w:r>
            <w:r w:rsidRPr="00782B03">
              <w:rPr>
                <w:rFonts w:ascii="Arial" w:hAnsi="Arial" w:cs="Arial"/>
                <w:lang w:val="en-US"/>
              </w:rPr>
              <w:t xml:space="preserve"> / optional </w:t>
            </w:r>
          </w:p>
        </w:tc>
      </w:tr>
      <w:tr w:rsidR="00BD6692"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 xml:space="preserve">Ratio of theory and practice: 100/0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BD6692"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w:t>
            </w:r>
            <w:r w:rsidRPr="00782B03">
              <w:rPr>
                <w:rFonts w:ascii="Arial" w:hAnsi="Arial" w:cs="Arial"/>
                <w:b/>
                <w:bCs/>
                <w:lang w:val="en-US"/>
              </w:rPr>
              <w:t xml:space="preserve">4 </w:t>
            </w:r>
            <w:r w:rsidRPr="00782B03">
              <w:rPr>
                <w:rFonts w:ascii="Arial" w:hAnsi="Arial" w:cs="Arial"/>
                <w:lang w:val="en-US"/>
              </w:rPr>
              <w:t xml:space="preserve">hour(s) lecture and </w:t>
            </w:r>
            <w:r w:rsidRPr="00782B03">
              <w:rPr>
                <w:rFonts w:ascii="Arial" w:hAnsi="Arial" w:cs="Arial"/>
                <w:b/>
                <w:bCs/>
                <w:lang w:val="en-US"/>
              </w:rPr>
              <w:t xml:space="preserve">0 </w:t>
            </w:r>
            <w:r w:rsidRPr="00782B03">
              <w:rPr>
                <w:rFonts w:ascii="Arial" w:hAnsi="Arial" w:cs="Arial"/>
                <w:lang w:val="en-US"/>
              </w:rPr>
              <w:t xml:space="preserve">hour(s) practice per </w:t>
            </w:r>
            <w:r w:rsidRPr="00782B03">
              <w:rPr>
                <w:rFonts w:ascii="Arial" w:hAnsi="Arial" w:cs="Arial"/>
                <w:b/>
                <w:lang w:val="en-US"/>
              </w:rPr>
              <w:t>semester</w:t>
            </w:r>
            <w:r w:rsidRPr="00782B03">
              <w:rPr>
                <w:rFonts w:ascii="Arial" w:hAnsi="Arial" w:cs="Arial"/>
                <w:lang w:val="en-US"/>
              </w:rPr>
              <w:t xml:space="preserve"> </w:t>
            </w:r>
          </w:p>
          <w:p w:rsidR="00BD6692" w:rsidRPr="00782B03" w:rsidRDefault="00BD6692"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Number of teaching hours / week :</w:t>
            </w:r>
            <w:r w:rsidRPr="00782B03">
              <w:rPr>
                <w:rFonts w:ascii="Arial" w:hAnsi="Arial" w:cs="Arial"/>
                <w:lang w:val="en-US"/>
              </w:rPr>
              <w:t xml:space="preserve"> eg.:2+2 (lecture and practice)</w:t>
            </w:r>
          </w:p>
        </w:tc>
      </w:tr>
      <w:tr w:rsidR="00BD6692"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bCs/>
                <w:u w:val="single"/>
                <w:lang w:val="en-US"/>
              </w:rPr>
              <w:t>exam</w:t>
            </w:r>
            <w:r w:rsidRPr="00782B03">
              <w:rPr>
                <w:rFonts w:ascii="Arial" w:hAnsi="Arial" w:cs="Arial"/>
                <w:lang w:val="en-US"/>
              </w:rPr>
              <w:t xml:space="preserve"> / practical course mark</w:t>
            </w:r>
          </w:p>
        </w:tc>
      </w:tr>
      <w:tr w:rsidR="00BD6692"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w:t>
            </w:r>
            <w:r w:rsidRPr="00782B03">
              <w:rPr>
                <w:rFonts w:ascii="Arial" w:hAnsi="Arial" w:cs="Arial"/>
                <w:b/>
                <w:lang w:val="en-US"/>
              </w:rPr>
              <w:t>3</w:t>
            </w:r>
          </w:p>
        </w:tc>
      </w:tr>
      <w:tr w:rsidR="00BD6692"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120" w:after="120"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BD6692" w:rsidRPr="00782B03" w:rsidRDefault="00BD6692" w:rsidP="00BD6692">
      <w:pPr>
        <w:suppressAutoHyphens/>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D6692"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BD6692"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D6692" w:rsidRPr="00782B03" w:rsidRDefault="00BD6692" w:rsidP="00CD0962">
            <w:pPr>
              <w:spacing w:line="256" w:lineRule="auto"/>
              <w:jc w:val="both"/>
              <w:rPr>
                <w:rFonts w:ascii="Arial" w:eastAsia="Times New Roman" w:hAnsi="Arial" w:cs="Arial"/>
                <w:u w:val="single"/>
                <w:lang w:val="en-US"/>
              </w:rPr>
            </w:pPr>
            <w:r w:rsidRPr="00782B03">
              <w:rPr>
                <w:rFonts w:ascii="Arial" w:hAnsi="Arial" w:cs="Arial"/>
                <w:u w:val="single"/>
                <w:lang w:val="en-US"/>
              </w:rPr>
              <w:t>Micro-and Macroeconomics</w:t>
            </w:r>
          </w:p>
          <w:p w:rsidR="00BD6692" w:rsidRPr="00782B03" w:rsidRDefault="00BD6692" w:rsidP="00CD0962">
            <w:pPr>
              <w:spacing w:line="256" w:lineRule="auto"/>
              <w:jc w:val="both"/>
              <w:rPr>
                <w:rFonts w:ascii="Arial" w:hAnsi="Arial" w:cs="Arial"/>
                <w:lang w:val="en-US"/>
              </w:rPr>
            </w:pPr>
            <w:r w:rsidRPr="00782B03">
              <w:rPr>
                <w:rFonts w:ascii="Arial" w:hAnsi="Arial" w:cs="Arial"/>
                <w:lang w:val="en-US"/>
              </w:rPr>
              <w:t>The course will provide the students with the basic concepts of economics: how economists think about the behavior of households, firms; how to think about markets, how to analyze the economy as a whole, what is inflation and unemployment. By the end of the course students should be able to use some basic tools of economics and apply them in solving basic economic problems.</w:t>
            </w:r>
          </w:p>
          <w:p w:rsidR="00BD6692" w:rsidRPr="00782B03" w:rsidRDefault="00BD6692" w:rsidP="00CD0962">
            <w:pPr>
              <w:spacing w:line="256" w:lineRule="auto"/>
              <w:jc w:val="both"/>
              <w:rPr>
                <w:rFonts w:ascii="Arial" w:hAnsi="Arial" w:cs="Arial"/>
                <w:u w:val="single"/>
                <w:lang w:val="en-US"/>
              </w:rPr>
            </w:pPr>
            <w:r w:rsidRPr="00782B03">
              <w:rPr>
                <w:rFonts w:ascii="Arial" w:hAnsi="Arial" w:cs="Arial"/>
                <w:u w:val="single"/>
                <w:lang w:val="en-US"/>
              </w:rPr>
              <w:t>Agricultural economics, History and functioning of the EU</w:t>
            </w:r>
          </w:p>
          <w:p w:rsidR="00BD6692" w:rsidRPr="00782B03" w:rsidRDefault="00BD6692" w:rsidP="00CD0962">
            <w:pPr>
              <w:spacing w:line="256" w:lineRule="auto"/>
              <w:jc w:val="both"/>
              <w:rPr>
                <w:rFonts w:ascii="Arial" w:eastAsia="Times New Roman" w:hAnsi="Arial" w:cs="Arial"/>
                <w:lang w:val="en-US"/>
              </w:rPr>
            </w:pPr>
            <w:r w:rsidRPr="00782B03">
              <w:rPr>
                <w:rStyle w:val="tlid-translation"/>
                <w:rFonts w:ascii="Arial" w:hAnsi="Arial" w:cs="Arial"/>
                <w:lang w:val="en-US"/>
              </w:rPr>
              <w:t>The aim of the course is to study the role of agriculture in the national economy, not only in the traditional approach but also from the viewpoint of agribusiness and multifunctional agriculture. The students will be able to put the topics discussed in an international perspective and get the skills to use the basic concepts in training. Having information about the EU will help them to build their future. The students will study about the role of agricultural policy from the beginning of the EU integration, gain information about the international agricultural market and its theoretical background. Getting information about the advancement of environmental policy and its principles can become the basis of knowledge-based thinking.</w:t>
            </w:r>
          </w:p>
        </w:tc>
      </w:tr>
      <w:tr w:rsidR="00BD6692"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BD6692"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D6692" w:rsidRPr="00782B03" w:rsidRDefault="00BD6692" w:rsidP="00CD0962">
            <w:pPr>
              <w:suppressAutoHyphens/>
              <w:spacing w:line="256" w:lineRule="auto"/>
              <w:ind w:left="34"/>
              <w:jc w:val="both"/>
              <w:rPr>
                <w:rFonts w:ascii="Arial" w:hAnsi="Arial" w:cs="Arial"/>
                <w:lang w:val="en-US"/>
              </w:rPr>
            </w:pPr>
            <w:r w:rsidRPr="00782B03">
              <w:rPr>
                <w:rFonts w:ascii="Arial" w:hAnsi="Arial" w:cs="Arial"/>
                <w:lang w:val="en-US"/>
              </w:rPr>
              <w:t>Skills to be learnt:</w:t>
            </w:r>
          </w:p>
          <w:p w:rsidR="00BD6692" w:rsidRPr="00782B03" w:rsidRDefault="00BD6692" w:rsidP="00CD0962">
            <w:pPr>
              <w:suppressAutoHyphens/>
              <w:ind w:left="34"/>
              <w:jc w:val="both"/>
              <w:rPr>
                <w:rFonts w:ascii="Arial" w:hAnsi="Arial" w:cs="Arial"/>
                <w:lang w:val="en-US"/>
              </w:rPr>
            </w:pPr>
            <w:r w:rsidRPr="00782B03">
              <w:rPr>
                <w:rStyle w:val="st"/>
                <w:rFonts w:ascii="Arial" w:hAnsi="Arial" w:cs="Arial"/>
                <w:lang w:val="en-US"/>
              </w:rPr>
              <w:t>Schedule:</w:t>
            </w:r>
          </w:p>
          <w:p w:rsidR="00BD6692" w:rsidRPr="00782B03" w:rsidRDefault="00BD6692" w:rsidP="00CD0962">
            <w:pPr>
              <w:suppressAutoHyphens/>
              <w:spacing w:line="256" w:lineRule="auto"/>
              <w:jc w:val="both"/>
              <w:rPr>
                <w:rFonts w:ascii="Arial" w:hAnsi="Arial" w:cs="Arial"/>
                <w:lang w:val="en-US"/>
              </w:rPr>
            </w:pPr>
            <w:r w:rsidRPr="00782B03">
              <w:rPr>
                <w:rFonts w:ascii="Arial" w:hAnsi="Arial" w:cs="Arial"/>
                <w:lang w:val="en-US"/>
              </w:rPr>
              <w:t>Micro- and Macroeconomics</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Introduction</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Principles of economics</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Market demand</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Market supply</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How markets work</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Demand, supply and governmental interventions</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Analysis of the market demand</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Market structures</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Measuring national income I. </w:t>
            </w:r>
          </w:p>
          <w:p w:rsidR="00BD6692" w:rsidRPr="00782B03" w:rsidRDefault="00BD6692" w:rsidP="00BD6692">
            <w:pPr>
              <w:pStyle w:val="Listaszerbekezds"/>
              <w:numPr>
                <w:ilvl w:val="0"/>
                <w:numId w:val="37"/>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Measuring national income II.</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Measuring the cost of living</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Production and economic growth</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Money</w:t>
            </w:r>
          </w:p>
          <w:p w:rsidR="00BD6692" w:rsidRPr="00782B03" w:rsidRDefault="00BD6692" w:rsidP="00BD6692">
            <w:pPr>
              <w:pStyle w:val="Listaszerbekezds"/>
              <w:numPr>
                <w:ilvl w:val="0"/>
                <w:numId w:val="3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Unemployment</w:t>
            </w:r>
          </w:p>
          <w:p w:rsidR="00BD6692" w:rsidRPr="00782B03" w:rsidRDefault="00BD6692" w:rsidP="00CD0962">
            <w:pPr>
              <w:pStyle w:val="Listaszerbekezds"/>
              <w:suppressAutoHyphens/>
              <w:spacing w:line="256" w:lineRule="auto"/>
              <w:jc w:val="both"/>
              <w:rPr>
                <w:rFonts w:ascii="Arial" w:hAnsi="Arial" w:cs="Arial"/>
                <w:sz w:val="22"/>
                <w:szCs w:val="22"/>
                <w:lang w:val="en-US" w:eastAsia="en-US"/>
              </w:rPr>
            </w:pPr>
          </w:p>
          <w:p w:rsidR="00BD6692" w:rsidRPr="00782B03" w:rsidRDefault="00BD6692" w:rsidP="00CD0962">
            <w:pPr>
              <w:spacing w:line="256" w:lineRule="auto"/>
              <w:jc w:val="both"/>
              <w:rPr>
                <w:rFonts w:ascii="Arial" w:hAnsi="Arial" w:cs="Arial"/>
                <w:lang w:val="en-US"/>
              </w:rPr>
            </w:pPr>
            <w:r w:rsidRPr="00782B03">
              <w:rPr>
                <w:rFonts w:ascii="Arial" w:hAnsi="Arial" w:cs="Arial"/>
                <w:lang w:val="en-US"/>
              </w:rPr>
              <w:t>Agricultural economics, History and functioning of the EU</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Agricultural economics</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The role of the agribusiness in the national economy</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Resources of the agriculture I.</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Resources of the agriculture II.</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Economic structure</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Agricultural foreign trade</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Global challenges in the agriculture</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EU history </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Institutions of the EU </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Economic and Monetary Union, EU budget</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Common Agricultural Policy I.</w:t>
            </w:r>
          </w:p>
          <w:p w:rsidR="00BD6692" w:rsidRPr="00782B03" w:rsidRDefault="00BD6692" w:rsidP="00BD6692">
            <w:pPr>
              <w:pStyle w:val="Listaszerbekezds"/>
              <w:numPr>
                <w:ilvl w:val="0"/>
                <w:numId w:val="3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Common Agricultural Policy II.</w:t>
            </w:r>
          </w:p>
          <w:p w:rsidR="00BD6692" w:rsidRPr="00782B03" w:rsidRDefault="00BD6692" w:rsidP="00BD6692">
            <w:pPr>
              <w:pStyle w:val="Listaszerbekezds"/>
              <w:numPr>
                <w:ilvl w:val="0"/>
                <w:numId w:val="38"/>
              </w:numPr>
              <w:suppressAutoHyphens/>
              <w:spacing w:line="256" w:lineRule="auto"/>
              <w:jc w:val="both"/>
              <w:rPr>
                <w:rStyle w:val="tlid-translation"/>
                <w:rFonts w:ascii="Arial" w:hAnsi="Arial" w:cs="Arial"/>
                <w:sz w:val="22"/>
                <w:szCs w:val="22"/>
                <w:lang w:val="en-US"/>
              </w:rPr>
            </w:pPr>
            <w:r w:rsidRPr="00782B03">
              <w:rPr>
                <w:rStyle w:val="tlid-translation"/>
                <w:rFonts w:ascii="Arial" w:hAnsi="Arial" w:cs="Arial"/>
                <w:sz w:val="22"/>
                <w:szCs w:val="22"/>
                <w:lang w:val="en-US" w:eastAsia="en-US"/>
              </w:rPr>
              <w:t>Rural development policy</w:t>
            </w:r>
          </w:p>
          <w:p w:rsidR="00BD6692" w:rsidRPr="00782B03" w:rsidRDefault="00BD6692" w:rsidP="00BD6692">
            <w:pPr>
              <w:pStyle w:val="Listaszerbekezds"/>
              <w:numPr>
                <w:ilvl w:val="0"/>
                <w:numId w:val="38"/>
              </w:numPr>
              <w:suppressAutoHyphens/>
              <w:spacing w:line="256" w:lineRule="auto"/>
              <w:jc w:val="both"/>
              <w:rPr>
                <w:rStyle w:val="tlid-translation"/>
                <w:rFonts w:ascii="Arial" w:hAnsi="Arial" w:cs="Arial"/>
                <w:sz w:val="22"/>
                <w:szCs w:val="22"/>
                <w:lang w:val="en-US"/>
              </w:rPr>
            </w:pPr>
            <w:r w:rsidRPr="00782B03">
              <w:rPr>
                <w:rFonts w:ascii="Arial" w:hAnsi="Arial" w:cs="Arial"/>
                <w:sz w:val="22"/>
                <w:szCs w:val="22"/>
                <w:lang w:val="en-US" w:eastAsia="en-US"/>
              </w:rPr>
              <w:t>Energy policy</w:t>
            </w:r>
          </w:p>
          <w:p w:rsidR="00BD6692" w:rsidRPr="00782B03" w:rsidRDefault="00BD6692" w:rsidP="00CD0962">
            <w:pPr>
              <w:pStyle w:val="Listaszerbekezds"/>
              <w:suppressAutoHyphens/>
              <w:spacing w:line="256" w:lineRule="auto"/>
              <w:ind w:left="754"/>
              <w:jc w:val="both"/>
              <w:rPr>
                <w:rFonts w:ascii="Arial" w:hAnsi="Arial" w:cs="Arial"/>
                <w:sz w:val="22"/>
                <w:szCs w:val="22"/>
                <w:lang w:val="en-US"/>
              </w:rPr>
            </w:pPr>
          </w:p>
        </w:tc>
      </w:tr>
      <w:tr w:rsidR="00BD6692"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BD6692" w:rsidRPr="00782B03" w:rsidRDefault="00BD6692"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BD6692"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BD6692" w:rsidRPr="00782B03" w:rsidRDefault="00BD6692" w:rsidP="00BD6692">
            <w:pPr>
              <w:pStyle w:val="Listaszerbekezds"/>
              <w:numPr>
                <w:ilvl w:val="0"/>
                <w:numId w:val="39"/>
              </w:numPr>
              <w:spacing w:line="256" w:lineRule="auto"/>
              <w:jc w:val="both"/>
              <w:rPr>
                <w:rFonts w:ascii="Arial" w:eastAsia="TimesNewRoman" w:hAnsi="Arial" w:cs="Arial"/>
                <w:sz w:val="22"/>
                <w:szCs w:val="22"/>
                <w:lang w:val="en-US" w:eastAsia="en-US"/>
              </w:rPr>
            </w:pPr>
            <w:r w:rsidRPr="00782B03">
              <w:rPr>
                <w:rFonts w:ascii="Arial" w:eastAsia="TimesNewRoman" w:hAnsi="Arial" w:cs="Arial"/>
                <w:sz w:val="22"/>
                <w:szCs w:val="22"/>
                <w:lang w:val="en-US" w:eastAsia="en-US"/>
              </w:rPr>
              <w:t>Mankiw, G. (2009): Principles of Economics. South-Western, Mason, USA.</w:t>
            </w:r>
          </w:p>
          <w:p w:rsidR="00BD6692" w:rsidRPr="00782B03" w:rsidRDefault="00BD6692" w:rsidP="00BD6692">
            <w:pPr>
              <w:pStyle w:val="Listaszerbekezds"/>
              <w:numPr>
                <w:ilvl w:val="0"/>
                <w:numId w:val="39"/>
              </w:numPr>
              <w:spacing w:line="256" w:lineRule="auto"/>
              <w:ind w:left="346" w:hanging="357"/>
              <w:jc w:val="both"/>
              <w:rPr>
                <w:rFonts w:ascii="Arial" w:eastAsia="TimesNewRoman" w:hAnsi="Arial" w:cs="Arial"/>
                <w:sz w:val="22"/>
                <w:szCs w:val="22"/>
                <w:lang w:val="en-US" w:eastAsia="en-US"/>
              </w:rPr>
            </w:pPr>
            <w:proofErr w:type="spellStart"/>
            <w:r w:rsidRPr="00782B03">
              <w:rPr>
                <w:rFonts w:ascii="Arial" w:eastAsia="TimesNewRoman" w:hAnsi="Arial" w:cs="Arial"/>
                <w:sz w:val="22"/>
                <w:szCs w:val="22"/>
                <w:lang w:val="en-US" w:eastAsia="en-US"/>
              </w:rPr>
              <w:t>Banse</w:t>
            </w:r>
            <w:proofErr w:type="spellEnd"/>
            <w:r w:rsidRPr="00782B03">
              <w:rPr>
                <w:rFonts w:ascii="Arial" w:eastAsia="TimesNewRoman" w:hAnsi="Arial" w:cs="Arial"/>
                <w:sz w:val="22"/>
                <w:szCs w:val="22"/>
                <w:lang w:val="en-US" w:eastAsia="en-US"/>
              </w:rPr>
              <w:t xml:space="preserve">, M. – Gorton, M. – </w:t>
            </w:r>
            <w:proofErr w:type="spellStart"/>
            <w:r w:rsidRPr="00782B03">
              <w:rPr>
                <w:rFonts w:ascii="Arial" w:eastAsia="TimesNewRoman" w:hAnsi="Arial" w:cs="Arial"/>
                <w:sz w:val="22"/>
                <w:szCs w:val="22"/>
                <w:lang w:val="en-US" w:eastAsia="en-US"/>
              </w:rPr>
              <w:t>Hartel</w:t>
            </w:r>
            <w:proofErr w:type="spellEnd"/>
            <w:r w:rsidRPr="00782B03">
              <w:rPr>
                <w:rFonts w:ascii="Arial" w:eastAsia="TimesNewRoman" w:hAnsi="Arial" w:cs="Arial"/>
                <w:sz w:val="22"/>
                <w:szCs w:val="22"/>
                <w:lang w:val="en-US" w:eastAsia="en-US"/>
              </w:rPr>
              <w:t xml:space="preserve">, J. – Hughes, G. – </w:t>
            </w:r>
            <w:proofErr w:type="spellStart"/>
            <w:r w:rsidRPr="00782B03">
              <w:rPr>
                <w:rFonts w:ascii="Arial" w:eastAsia="TimesNewRoman" w:hAnsi="Arial" w:cs="Arial"/>
                <w:sz w:val="22"/>
                <w:szCs w:val="22"/>
                <w:lang w:val="en-US" w:eastAsia="en-US"/>
              </w:rPr>
              <w:t>Köckler</w:t>
            </w:r>
            <w:proofErr w:type="spellEnd"/>
            <w:r w:rsidRPr="00782B03">
              <w:rPr>
                <w:rFonts w:ascii="Arial" w:eastAsia="TimesNewRoman" w:hAnsi="Arial" w:cs="Arial"/>
                <w:sz w:val="22"/>
                <w:szCs w:val="22"/>
                <w:lang w:val="en-US" w:eastAsia="en-US"/>
              </w:rPr>
              <w:t xml:space="preserve">, J. – </w:t>
            </w:r>
            <w:proofErr w:type="spellStart"/>
            <w:r w:rsidRPr="00782B03">
              <w:rPr>
                <w:rFonts w:ascii="Arial" w:eastAsia="TimesNewRoman" w:hAnsi="Arial" w:cs="Arial"/>
                <w:sz w:val="22"/>
                <w:szCs w:val="22"/>
                <w:lang w:val="en-US" w:eastAsia="en-US"/>
              </w:rPr>
              <w:t>Möllman</w:t>
            </w:r>
            <w:proofErr w:type="spellEnd"/>
            <w:r w:rsidRPr="00782B03">
              <w:rPr>
                <w:rFonts w:ascii="Arial" w:eastAsia="TimesNewRoman" w:hAnsi="Arial" w:cs="Arial"/>
                <w:sz w:val="22"/>
                <w:szCs w:val="22"/>
                <w:lang w:val="en-US" w:eastAsia="en-US"/>
              </w:rPr>
              <w:t xml:space="preserve">, T. – </w:t>
            </w:r>
            <w:proofErr w:type="spellStart"/>
            <w:r w:rsidRPr="00782B03">
              <w:rPr>
                <w:rFonts w:ascii="Arial" w:eastAsia="TimesNewRoman" w:hAnsi="Arial" w:cs="Arial"/>
                <w:sz w:val="22"/>
                <w:szCs w:val="22"/>
                <w:lang w:val="en-US" w:eastAsia="en-US"/>
              </w:rPr>
              <w:t>Münch</w:t>
            </w:r>
            <w:proofErr w:type="spellEnd"/>
            <w:r w:rsidRPr="00782B03">
              <w:rPr>
                <w:rFonts w:ascii="Arial" w:eastAsia="TimesNewRoman" w:hAnsi="Arial" w:cs="Arial"/>
                <w:sz w:val="22"/>
                <w:szCs w:val="22"/>
                <w:lang w:val="en-US" w:eastAsia="en-US"/>
              </w:rPr>
              <w:t>, W. (1999): The evolution of competitiveness in Hungarian agriculture: from transition to accession. MOCT-MOST Economic policy in transitional economies. 1999. vol. 9. No. 3. pp. 307-318.</w:t>
            </w:r>
          </w:p>
          <w:p w:rsidR="00BD6692" w:rsidRPr="00782B03" w:rsidRDefault="00BD6692" w:rsidP="00BD6692">
            <w:pPr>
              <w:pStyle w:val="Listaszerbekezds"/>
              <w:numPr>
                <w:ilvl w:val="0"/>
                <w:numId w:val="39"/>
              </w:numPr>
              <w:spacing w:line="256" w:lineRule="auto"/>
              <w:ind w:left="346" w:hanging="357"/>
              <w:jc w:val="both"/>
              <w:rPr>
                <w:rFonts w:ascii="Arial" w:hAnsi="Arial" w:cs="Arial"/>
                <w:sz w:val="22"/>
                <w:szCs w:val="22"/>
                <w:lang w:val="en-US" w:eastAsia="en-US"/>
              </w:rPr>
            </w:pPr>
            <w:r w:rsidRPr="00782B03">
              <w:rPr>
                <w:rFonts w:ascii="Arial" w:hAnsi="Arial" w:cs="Arial"/>
                <w:sz w:val="22"/>
                <w:szCs w:val="22"/>
                <w:lang w:val="en-US" w:eastAsia="en-US"/>
              </w:rPr>
              <w:t xml:space="preserve">EC (2017): European Commission. Proposal for a Directive of the European </w:t>
            </w:r>
            <w:proofErr w:type="spellStart"/>
            <w:r w:rsidRPr="00782B03">
              <w:rPr>
                <w:rFonts w:ascii="Arial" w:hAnsi="Arial" w:cs="Arial"/>
                <w:sz w:val="22"/>
                <w:szCs w:val="22"/>
                <w:lang w:val="en-US" w:eastAsia="en-US"/>
              </w:rPr>
              <w:t>Parlament</w:t>
            </w:r>
            <w:proofErr w:type="spellEnd"/>
            <w:r w:rsidRPr="00782B03">
              <w:rPr>
                <w:rFonts w:ascii="Arial" w:hAnsi="Arial" w:cs="Arial"/>
                <w:sz w:val="22"/>
                <w:szCs w:val="22"/>
                <w:lang w:val="en-US" w:eastAsia="en-US"/>
              </w:rPr>
              <w:t xml:space="preserve"> and of the Council on the promotion of the use of energy from renewable sources, This document corrects document COM (2016) 767 final of 30.11.2016, </w:t>
            </w:r>
            <w:hyperlink r:id="rId5" w:history="1">
              <w:r w:rsidRPr="00782B03">
                <w:rPr>
                  <w:rStyle w:val="Hiperhivatkozs"/>
                  <w:rFonts w:ascii="Arial" w:hAnsi="Arial" w:cs="Arial"/>
                  <w:sz w:val="22"/>
                  <w:szCs w:val="22"/>
                  <w:lang w:val="en-US" w:eastAsia="en-US"/>
                </w:rPr>
                <w:t>http://eur-lex.europa.eu/legal-content/EN/TXT/?uri=CELEX:52016PC0767R%2801%29</w:t>
              </w:r>
            </w:hyperlink>
          </w:p>
          <w:p w:rsidR="00BD6692" w:rsidRPr="00782B03" w:rsidRDefault="00BD6692" w:rsidP="00BD6692">
            <w:pPr>
              <w:pStyle w:val="Listaszerbekezds"/>
              <w:numPr>
                <w:ilvl w:val="0"/>
                <w:numId w:val="39"/>
              </w:numPr>
              <w:spacing w:line="256" w:lineRule="auto"/>
              <w:ind w:left="346" w:hanging="357"/>
              <w:jc w:val="both"/>
              <w:rPr>
                <w:rFonts w:ascii="Arial" w:hAnsi="Arial" w:cs="Arial"/>
                <w:sz w:val="22"/>
                <w:szCs w:val="22"/>
                <w:lang w:val="en-US" w:eastAsia="en-US"/>
              </w:rPr>
            </w:pPr>
            <w:r w:rsidRPr="00782B03">
              <w:rPr>
                <w:rFonts w:ascii="Arial" w:hAnsi="Arial" w:cs="Arial"/>
                <w:sz w:val="22"/>
                <w:szCs w:val="22"/>
                <w:lang w:val="en-US" w:eastAsia="en-US"/>
              </w:rPr>
              <w:t>EUROSTAT (2017): Agricultural, forestry and fishery statistics. Statistical books. http://ec.europa.eu/eurostat/statistics-explained/index.php/Agriculture,_forestry_and_fishery_statistics</w:t>
            </w:r>
          </w:p>
          <w:p w:rsidR="00BD6692" w:rsidRPr="00782B03" w:rsidRDefault="00BD6692" w:rsidP="00BD6692">
            <w:pPr>
              <w:pStyle w:val="Listaszerbekezds"/>
              <w:numPr>
                <w:ilvl w:val="0"/>
                <w:numId w:val="39"/>
              </w:numPr>
              <w:spacing w:line="256" w:lineRule="auto"/>
              <w:ind w:left="346" w:hanging="357"/>
              <w:jc w:val="both"/>
              <w:rPr>
                <w:rFonts w:ascii="Arial" w:hAnsi="Arial" w:cs="Arial"/>
                <w:sz w:val="22"/>
                <w:szCs w:val="22"/>
                <w:lang w:val="en-US" w:eastAsia="en-US"/>
              </w:rPr>
            </w:pPr>
            <w:r w:rsidRPr="00782B03">
              <w:rPr>
                <w:rFonts w:ascii="Arial" w:hAnsi="Arial" w:cs="Arial"/>
                <w:sz w:val="22"/>
                <w:szCs w:val="22"/>
                <w:lang w:val="en-US" w:eastAsia="en-US"/>
              </w:rPr>
              <w:t xml:space="preserve">EUROSTAT (2018): Farm structure statistics </w:t>
            </w:r>
            <w:hyperlink r:id="rId6" w:history="1">
              <w:r w:rsidRPr="00782B03">
                <w:rPr>
                  <w:rStyle w:val="Hiperhivatkozs"/>
                  <w:rFonts w:ascii="Arial" w:hAnsi="Arial" w:cs="Arial"/>
                  <w:sz w:val="22"/>
                  <w:szCs w:val="22"/>
                  <w:lang w:val="en-US" w:eastAsia="en-US"/>
                </w:rPr>
                <w:t>http://ec.europa.eu/eurostat/statistics-explained/index.php/Farm_structure_statistics</w:t>
              </w:r>
            </w:hyperlink>
            <w:r w:rsidRPr="00782B03">
              <w:rPr>
                <w:rStyle w:val="Hiperhivatkozs"/>
                <w:rFonts w:ascii="Arial" w:hAnsi="Arial" w:cs="Arial"/>
                <w:sz w:val="22"/>
                <w:szCs w:val="22"/>
                <w:lang w:val="en-US" w:eastAsia="en-US"/>
              </w:rPr>
              <w:t xml:space="preserve"> (</w:t>
            </w:r>
            <w:r w:rsidRPr="00782B03">
              <w:rPr>
                <w:rFonts w:ascii="Arial" w:hAnsi="Arial" w:cs="Arial"/>
                <w:sz w:val="22"/>
                <w:szCs w:val="22"/>
                <w:lang w:val="en-US" w:eastAsia="en-US"/>
              </w:rPr>
              <w:t>on 6 June 2018)</w:t>
            </w:r>
          </w:p>
          <w:p w:rsidR="00BD6692" w:rsidRPr="00782B03" w:rsidRDefault="00BD6692" w:rsidP="00BD6692">
            <w:pPr>
              <w:pStyle w:val="pszerzo"/>
              <w:numPr>
                <w:ilvl w:val="0"/>
                <w:numId w:val="39"/>
              </w:numPr>
              <w:spacing w:before="0" w:beforeAutospacing="0" w:after="0" w:afterAutospacing="0" w:line="256" w:lineRule="auto"/>
              <w:ind w:left="346" w:hanging="357"/>
              <w:jc w:val="both"/>
              <w:rPr>
                <w:rFonts w:ascii="Arial" w:hAnsi="Arial" w:cs="Arial"/>
                <w:sz w:val="22"/>
                <w:szCs w:val="22"/>
                <w:lang w:val="en-US" w:eastAsia="en-US"/>
              </w:rPr>
            </w:pPr>
            <w:r w:rsidRPr="00782B03">
              <w:rPr>
                <w:rFonts w:ascii="Arial" w:hAnsi="Arial" w:cs="Arial"/>
                <w:sz w:val="22"/>
                <w:szCs w:val="22"/>
                <w:lang w:val="en-US" w:eastAsia="en-US"/>
              </w:rPr>
              <w:t xml:space="preserve">Joachim von Braun, Volker </w:t>
            </w:r>
            <w:proofErr w:type="spellStart"/>
            <w:r w:rsidRPr="00782B03">
              <w:rPr>
                <w:rFonts w:ascii="Arial" w:hAnsi="Arial" w:cs="Arial"/>
                <w:sz w:val="22"/>
                <w:szCs w:val="22"/>
                <w:lang w:val="en-US" w:eastAsia="en-US"/>
              </w:rPr>
              <w:t>ter</w:t>
            </w:r>
            <w:proofErr w:type="spellEnd"/>
            <w:r w:rsidRPr="00782B03">
              <w:rPr>
                <w:rFonts w:ascii="Arial" w:hAnsi="Arial" w:cs="Arial"/>
                <w:sz w:val="22"/>
                <w:szCs w:val="22"/>
                <w:lang w:val="en-US" w:eastAsia="en-US"/>
              </w:rPr>
              <w:t xml:space="preserve"> </w:t>
            </w:r>
            <w:proofErr w:type="spellStart"/>
            <w:r w:rsidRPr="00782B03">
              <w:rPr>
                <w:rFonts w:ascii="Arial" w:hAnsi="Arial" w:cs="Arial"/>
                <w:sz w:val="22"/>
                <w:szCs w:val="22"/>
                <w:lang w:val="en-US" w:eastAsia="en-US"/>
              </w:rPr>
              <w:t>Meulen</w:t>
            </w:r>
            <w:proofErr w:type="spellEnd"/>
            <w:r w:rsidRPr="00782B03">
              <w:rPr>
                <w:rFonts w:ascii="Arial" w:hAnsi="Arial" w:cs="Arial"/>
                <w:sz w:val="22"/>
                <w:szCs w:val="22"/>
                <w:lang w:val="en-US" w:eastAsia="en-US"/>
              </w:rPr>
              <w:t xml:space="preserve">, Dag </w:t>
            </w:r>
            <w:proofErr w:type="spellStart"/>
            <w:r w:rsidRPr="00782B03">
              <w:rPr>
                <w:rFonts w:ascii="Arial" w:hAnsi="Arial" w:cs="Arial"/>
                <w:sz w:val="22"/>
                <w:szCs w:val="22"/>
                <w:lang w:val="en-US" w:eastAsia="en-US"/>
              </w:rPr>
              <w:t>Lorents</w:t>
            </w:r>
            <w:proofErr w:type="spellEnd"/>
            <w:r w:rsidRPr="00782B03">
              <w:rPr>
                <w:rFonts w:ascii="Arial" w:hAnsi="Arial" w:cs="Arial"/>
                <w:sz w:val="22"/>
                <w:szCs w:val="22"/>
                <w:lang w:val="en-US" w:eastAsia="en-US"/>
              </w:rPr>
              <w:t xml:space="preserve"> </w:t>
            </w:r>
            <w:proofErr w:type="spellStart"/>
            <w:r w:rsidRPr="00782B03">
              <w:rPr>
                <w:rFonts w:ascii="Arial" w:hAnsi="Arial" w:cs="Arial"/>
                <w:sz w:val="22"/>
                <w:szCs w:val="22"/>
                <w:lang w:val="en-US" w:eastAsia="en-US"/>
              </w:rPr>
              <w:t>Aksnes</w:t>
            </w:r>
            <w:proofErr w:type="spellEnd"/>
            <w:r w:rsidRPr="00782B03">
              <w:rPr>
                <w:rFonts w:ascii="Arial" w:hAnsi="Arial" w:cs="Arial"/>
                <w:sz w:val="22"/>
                <w:szCs w:val="22"/>
                <w:lang w:val="en-US" w:eastAsia="en-US"/>
              </w:rPr>
              <w:t xml:space="preserve">, Tim Benton, Alberto </w:t>
            </w:r>
            <w:proofErr w:type="spellStart"/>
            <w:r w:rsidRPr="00782B03">
              <w:rPr>
                <w:rFonts w:ascii="Arial" w:hAnsi="Arial" w:cs="Arial"/>
                <w:sz w:val="22"/>
                <w:szCs w:val="22"/>
                <w:lang w:val="en-US" w:eastAsia="en-US"/>
              </w:rPr>
              <w:t>Garrido</w:t>
            </w:r>
            <w:proofErr w:type="spellEnd"/>
            <w:r w:rsidRPr="00782B03">
              <w:rPr>
                <w:rFonts w:ascii="Arial" w:hAnsi="Arial" w:cs="Arial"/>
                <w:sz w:val="22"/>
                <w:szCs w:val="22"/>
                <w:lang w:val="en-US" w:eastAsia="en-US"/>
              </w:rPr>
              <w:t xml:space="preserve">, Charles </w:t>
            </w:r>
            <w:proofErr w:type="spellStart"/>
            <w:r w:rsidRPr="00782B03">
              <w:rPr>
                <w:rFonts w:ascii="Arial" w:hAnsi="Arial" w:cs="Arial"/>
                <w:sz w:val="22"/>
                <w:szCs w:val="22"/>
                <w:lang w:val="en-US" w:eastAsia="en-US"/>
              </w:rPr>
              <w:t>Godfray</w:t>
            </w:r>
            <w:proofErr w:type="spellEnd"/>
            <w:r w:rsidRPr="00782B03">
              <w:rPr>
                <w:rFonts w:ascii="Arial" w:hAnsi="Arial" w:cs="Arial"/>
                <w:sz w:val="22"/>
                <w:szCs w:val="22"/>
                <w:lang w:val="en-US" w:eastAsia="en-US"/>
              </w:rPr>
              <w:t xml:space="preserve">, Anne-Marie </w:t>
            </w:r>
            <w:proofErr w:type="spellStart"/>
            <w:r w:rsidRPr="00782B03">
              <w:rPr>
                <w:rFonts w:ascii="Arial" w:hAnsi="Arial" w:cs="Arial"/>
                <w:sz w:val="22"/>
                <w:szCs w:val="22"/>
                <w:lang w:val="en-US" w:eastAsia="en-US"/>
              </w:rPr>
              <w:t>Hermansson</w:t>
            </w:r>
            <w:proofErr w:type="spellEnd"/>
            <w:r w:rsidRPr="00782B03">
              <w:rPr>
                <w:rFonts w:ascii="Arial" w:hAnsi="Arial" w:cs="Arial"/>
                <w:sz w:val="22"/>
                <w:szCs w:val="22"/>
                <w:lang w:val="en-US" w:eastAsia="en-US"/>
              </w:rPr>
              <w:t xml:space="preserve">, Sander Janssen, Christian Jung, Pavel </w:t>
            </w:r>
            <w:proofErr w:type="spellStart"/>
            <w:r w:rsidRPr="00782B03">
              <w:rPr>
                <w:rFonts w:ascii="Arial" w:hAnsi="Arial" w:cs="Arial"/>
                <w:sz w:val="22"/>
                <w:szCs w:val="22"/>
                <w:lang w:val="en-US" w:eastAsia="en-US"/>
              </w:rPr>
              <w:t>Krasilnikov</w:t>
            </w:r>
            <w:proofErr w:type="spellEnd"/>
            <w:r w:rsidRPr="00782B03">
              <w:rPr>
                <w:rFonts w:ascii="Arial" w:hAnsi="Arial" w:cs="Arial"/>
                <w:sz w:val="22"/>
                <w:szCs w:val="22"/>
                <w:lang w:val="en-US" w:eastAsia="en-US"/>
              </w:rPr>
              <w:t xml:space="preserve">, </w:t>
            </w:r>
            <w:proofErr w:type="spellStart"/>
            <w:r w:rsidRPr="00782B03">
              <w:rPr>
                <w:rFonts w:ascii="Arial" w:hAnsi="Arial" w:cs="Arial"/>
                <w:sz w:val="22"/>
                <w:szCs w:val="22"/>
                <w:lang w:val="en-US" w:eastAsia="en-US"/>
              </w:rPr>
              <w:t>Aifric</w:t>
            </w:r>
            <w:proofErr w:type="spellEnd"/>
            <w:r w:rsidRPr="00782B03">
              <w:rPr>
                <w:rFonts w:ascii="Arial" w:hAnsi="Arial" w:cs="Arial"/>
                <w:sz w:val="22"/>
                <w:szCs w:val="22"/>
                <w:lang w:val="en-US" w:eastAsia="en-US"/>
              </w:rPr>
              <w:t xml:space="preserve"> O’Sullivan, </w:t>
            </w:r>
            <w:proofErr w:type="spellStart"/>
            <w:r w:rsidRPr="00782B03">
              <w:rPr>
                <w:rFonts w:ascii="Arial" w:hAnsi="Arial" w:cs="Arial"/>
                <w:sz w:val="22"/>
                <w:szCs w:val="22"/>
                <w:lang w:val="en-US" w:eastAsia="en-US"/>
              </w:rPr>
              <w:t>Jozsef</w:t>
            </w:r>
            <w:proofErr w:type="spellEnd"/>
            <w:r w:rsidRPr="00782B03">
              <w:rPr>
                <w:rFonts w:ascii="Arial" w:hAnsi="Arial" w:cs="Arial"/>
                <w:sz w:val="22"/>
                <w:szCs w:val="22"/>
                <w:lang w:val="en-US" w:eastAsia="en-US"/>
              </w:rPr>
              <w:t xml:space="preserve"> Popp, Angelika </w:t>
            </w:r>
            <w:proofErr w:type="spellStart"/>
            <w:r w:rsidRPr="00782B03">
              <w:rPr>
                <w:rFonts w:ascii="Arial" w:hAnsi="Arial" w:cs="Arial"/>
                <w:sz w:val="22"/>
                <w:szCs w:val="22"/>
                <w:lang w:val="en-US" w:eastAsia="en-US"/>
              </w:rPr>
              <w:t>Schnieke</w:t>
            </w:r>
            <w:proofErr w:type="spellEnd"/>
            <w:r w:rsidRPr="00782B03">
              <w:rPr>
                <w:rFonts w:ascii="Arial" w:hAnsi="Arial" w:cs="Arial"/>
                <w:sz w:val="22"/>
                <w:szCs w:val="22"/>
                <w:lang w:val="en-US" w:eastAsia="en-US"/>
              </w:rPr>
              <w:t xml:space="preserve">, Barbara </w:t>
            </w:r>
            <w:proofErr w:type="spellStart"/>
            <w:r w:rsidRPr="00782B03">
              <w:rPr>
                <w:rFonts w:ascii="Arial" w:hAnsi="Arial" w:cs="Arial"/>
                <w:sz w:val="22"/>
                <w:szCs w:val="22"/>
                <w:lang w:val="en-US" w:eastAsia="en-US"/>
              </w:rPr>
              <w:t>Wroblewska</w:t>
            </w:r>
            <w:proofErr w:type="spellEnd"/>
            <w:r w:rsidRPr="00782B03">
              <w:rPr>
                <w:rFonts w:ascii="Arial" w:hAnsi="Arial" w:cs="Arial"/>
                <w:sz w:val="22"/>
                <w:szCs w:val="22"/>
                <w:lang w:val="en-US" w:eastAsia="en-US"/>
              </w:rPr>
              <w:t>, Claudia Canales, Robin Fears – Robin Fears (</w:t>
            </w:r>
            <w:proofErr w:type="spellStart"/>
            <w:r w:rsidRPr="00782B03">
              <w:rPr>
                <w:rFonts w:ascii="Arial" w:hAnsi="Arial" w:cs="Arial"/>
                <w:sz w:val="22"/>
                <w:szCs w:val="22"/>
                <w:lang w:val="en-US" w:eastAsia="en-US"/>
              </w:rPr>
              <w:t>szerk</w:t>
            </w:r>
            <w:proofErr w:type="spellEnd"/>
            <w:r w:rsidRPr="00782B03">
              <w:rPr>
                <w:rFonts w:ascii="Arial" w:hAnsi="Arial" w:cs="Arial"/>
                <w:sz w:val="22"/>
                <w:szCs w:val="22"/>
                <w:lang w:val="en-US" w:eastAsia="en-US"/>
              </w:rPr>
              <w:t>.) (2018): Opportunities and challenges for research on food and nutrition security and agriculture in Europe. Halle</w:t>
            </w:r>
            <w:r w:rsidRPr="00782B03">
              <w:rPr>
                <w:rStyle w:val="kiadvaros"/>
                <w:rFonts w:ascii="Arial" w:eastAsia="Calibri" w:hAnsi="Arial" w:cs="Arial"/>
                <w:sz w:val="22"/>
                <w:szCs w:val="22"/>
                <w:lang w:val="en-US" w:eastAsia="en-US"/>
              </w:rPr>
              <w:t xml:space="preserve">: </w:t>
            </w:r>
            <w:r w:rsidRPr="00782B03">
              <w:rPr>
                <w:rStyle w:val="kiado"/>
                <w:rFonts w:ascii="Arial" w:hAnsi="Arial" w:cs="Arial"/>
                <w:sz w:val="22"/>
                <w:szCs w:val="22"/>
                <w:lang w:val="en-US" w:eastAsia="en-US"/>
              </w:rPr>
              <w:t xml:space="preserve">EASAC Secretariat, </w:t>
            </w:r>
            <w:r w:rsidRPr="00782B03">
              <w:rPr>
                <w:rStyle w:val="ev"/>
                <w:rFonts w:ascii="Arial" w:hAnsi="Arial" w:cs="Arial"/>
                <w:sz w:val="22"/>
                <w:szCs w:val="22"/>
                <w:lang w:val="en-US" w:eastAsia="en-US"/>
              </w:rPr>
              <w:t xml:space="preserve">2017. </w:t>
            </w:r>
            <w:r w:rsidRPr="00782B03">
              <w:rPr>
                <w:rStyle w:val="oldal"/>
                <w:rFonts w:ascii="Arial" w:hAnsi="Arial" w:cs="Arial"/>
                <w:sz w:val="22"/>
                <w:szCs w:val="22"/>
                <w:lang w:val="en-US" w:eastAsia="en-US"/>
              </w:rPr>
              <w:t>72 p. (</w:t>
            </w:r>
            <w:r w:rsidRPr="00782B03">
              <w:rPr>
                <w:rFonts w:ascii="Arial" w:hAnsi="Arial" w:cs="Arial"/>
                <w:sz w:val="22"/>
                <w:szCs w:val="22"/>
                <w:lang w:val="en-US" w:eastAsia="en-US"/>
              </w:rPr>
              <w:t>34., EASAC policy report 34;</w:t>
            </w:r>
            <w:r w:rsidRPr="00782B03">
              <w:rPr>
                <w:rStyle w:val="pisbn"/>
                <w:rFonts w:ascii="Arial" w:hAnsi="Arial" w:cs="Arial"/>
                <w:sz w:val="22"/>
                <w:szCs w:val="22"/>
                <w:lang w:val="en-US" w:eastAsia="en-US"/>
              </w:rPr>
              <w:t>(ISBN:</w:t>
            </w:r>
            <w:hyperlink r:id="rId7" w:tgtFrame="_blank" w:history="1">
              <w:r w:rsidRPr="00782B03">
                <w:rPr>
                  <w:rStyle w:val="Hiperhivatkozs"/>
                  <w:rFonts w:ascii="Arial" w:hAnsi="Arial" w:cs="Arial"/>
                  <w:sz w:val="22"/>
                  <w:szCs w:val="22"/>
                  <w:lang w:val="en-US" w:eastAsia="en-US"/>
                </w:rPr>
                <w:t>978-3-8047-3811-9</w:t>
              </w:r>
            </w:hyperlink>
            <w:r w:rsidRPr="00782B03">
              <w:rPr>
                <w:rStyle w:val="pisbn"/>
                <w:rFonts w:ascii="Arial" w:hAnsi="Arial" w:cs="Arial"/>
                <w:sz w:val="22"/>
                <w:szCs w:val="22"/>
                <w:lang w:val="en-US" w:eastAsia="en-US"/>
              </w:rPr>
              <w:t>)</w:t>
            </w:r>
          </w:p>
          <w:p w:rsidR="00BD6692" w:rsidRPr="00782B03" w:rsidRDefault="00BD6692" w:rsidP="00BD6692">
            <w:pPr>
              <w:numPr>
                <w:ilvl w:val="0"/>
                <w:numId w:val="39"/>
              </w:numPr>
              <w:spacing w:after="0" w:line="256" w:lineRule="auto"/>
              <w:ind w:left="316" w:hanging="283"/>
              <w:jc w:val="both"/>
              <w:rPr>
                <w:rFonts w:ascii="Arial" w:eastAsia="Times New Roman" w:hAnsi="Arial" w:cs="Arial"/>
                <w:lang w:val="en-US"/>
              </w:rPr>
            </w:pPr>
            <w:proofErr w:type="spellStart"/>
            <w:r w:rsidRPr="00782B03">
              <w:rPr>
                <w:rFonts w:ascii="Arial" w:hAnsi="Arial" w:cs="Arial"/>
                <w:bCs/>
                <w:lang w:val="en-US"/>
              </w:rPr>
              <w:t>Krijn</w:t>
            </w:r>
            <w:proofErr w:type="spellEnd"/>
            <w:r w:rsidRPr="00782B03">
              <w:rPr>
                <w:rFonts w:ascii="Arial" w:hAnsi="Arial" w:cs="Arial"/>
                <w:bCs/>
                <w:lang w:val="en-US"/>
              </w:rPr>
              <w:t xml:space="preserve"> J. </w:t>
            </w:r>
            <w:proofErr w:type="spellStart"/>
            <w:r w:rsidRPr="00782B03">
              <w:rPr>
                <w:rFonts w:ascii="Arial" w:hAnsi="Arial" w:cs="Arial"/>
                <w:bCs/>
                <w:lang w:val="en-US"/>
              </w:rPr>
              <w:t>Poppe</w:t>
            </w:r>
            <w:proofErr w:type="spellEnd"/>
            <w:r w:rsidRPr="00782B03">
              <w:rPr>
                <w:rFonts w:ascii="Arial" w:hAnsi="Arial" w:cs="Arial"/>
                <w:bCs/>
                <w:lang w:val="en-US"/>
              </w:rPr>
              <w:t xml:space="preserve">; Catherine </w:t>
            </w:r>
            <w:proofErr w:type="spellStart"/>
            <w:r w:rsidRPr="00782B03">
              <w:rPr>
                <w:rFonts w:ascii="Arial" w:hAnsi="Arial" w:cs="Arial"/>
                <w:bCs/>
                <w:lang w:val="en-US"/>
              </w:rPr>
              <w:t>Termeer</w:t>
            </w:r>
            <w:proofErr w:type="spellEnd"/>
            <w:r w:rsidRPr="00782B03">
              <w:rPr>
                <w:rFonts w:ascii="Arial" w:hAnsi="Arial" w:cs="Arial"/>
                <w:bCs/>
                <w:lang w:val="en-US"/>
              </w:rPr>
              <w:t xml:space="preserve">, Maja </w:t>
            </w:r>
            <w:proofErr w:type="spellStart"/>
            <w:r w:rsidRPr="00782B03">
              <w:rPr>
                <w:rFonts w:ascii="Arial" w:hAnsi="Arial" w:cs="Arial"/>
                <w:bCs/>
                <w:lang w:val="en-US"/>
              </w:rPr>
              <w:t>Slingerland</w:t>
            </w:r>
            <w:proofErr w:type="spellEnd"/>
            <w:r w:rsidRPr="00782B03">
              <w:rPr>
                <w:rFonts w:ascii="Arial" w:hAnsi="Arial" w:cs="Arial"/>
                <w:bCs/>
                <w:lang w:val="en-US"/>
              </w:rPr>
              <w:t xml:space="preserve"> (editors) (2009): Transitions toward sustainable agriculture and food chains in </w:t>
            </w:r>
            <w:proofErr w:type="spellStart"/>
            <w:r w:rsidRPr="00782B03">
              <w:rPr>
                <w:rFonts w:ascii="Arial" w:hAnsi="Arial" w:cs="Arial"/>
                <w:bCs/>
                <w:lang w:val="en-US"/>
              </w:rPr>
              <w:t>peri</w:t>
            </w:r>
            <w:proofErr w:type="spellEnd"/>
            <w:r w:rsidRPr="00782B03">
              <w:rPr>
                <w:rFonts w:ascii="Arial" w:hAnsi="Arial" w:cs="Arial"/>
                <w:bCs/>
                <w:lang w:val="en-US"/>
              </w:rPr>
              <w:t xml:space="preserve">-urban areas. </w:t>
            </w:r>
            <w:proofErr w:type="spellStart"/>
            <w:r w:rsidRPr="00782B03">
              <w:rPr>
                <w:rFonts w:ascii="Arial" w:hAnsi="Arial" w:cs="Arial"/>
                <w:bCs/>
                <w:lang w:val="en-US"/>
              </w:rPr>
              <w:t>Wageningen</w:t>
            </w:r>
            <w:proofErr w:type="spellEnd"/>
            <w:r w:rsidRPr="00782B03">
              <w:rPr>
                <w:rFonts w:ascii="Arial" w:hAnsi="Arial" w:cs="Arial"/>
                <w:bCs/>
                <w:lang w:val="en-US"/>
              </w:rPr>
              <w:t xml:space="preserve"> Academic Publishers</w:t>
            </w:r>
          </w:p>
        </w:tc>
      </w:tr>
      <w:tr w:rsidR="00BD6692"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BD6692" w:rsidRPr="00782B03" w:rsidRDefault="00BD6692" w:rsidP="00CD0962">
            <w:pPr>
              <w:suppressAutoHyphens/>
              <w:spacing w:line="256" w:lineRule="auto"/>
              <w:jc w:val="both"/>
              <w:rPr>
                <w:rFonts w:ascii="Arial" w:eastAsia="Times New Roman"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BD6692"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D6692" w:rsidRPr="00782B03" w:rsidRDefault="00BD6692" w:rsidP="00BD6692">
            <w:pPr>
              <w:numPr>
                <w:ilvl w:val="0"/>
                <w:numId w:val="40"/>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Students are aware of the fundamental ideas, theories of economics, and those of the international economics relations as concerned with the relevant economic players, functions, and processes.</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Students can get a general overview on the basic definitions, theories and notions of agribusiness, their main characteristics and connections. At the end of the course they also know the main actors, their functions and processes of the sector. At the end of the course the students will know the most important theoretical and methodological bases and they will have practical knowledge as well.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Students will know the most important methods of data collection, analysis and problem solving.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Students will know how to </w:t>
            </w:r>
            <w:proofErr w:type="spellStart"/>
            <w:r w:rsidRPr="00782B03">
              <w:rPr>
                <w:rFonts w:ascii="Arial" w:hAnsi="Arial" w:cs="Arial"/>
                <w:lang w:val="en-US"/>
              </w:rPr>
              <w:t>recognise</w:t>
            </w:r>
            <w:proofErr w:type="spellEnd"/>
            <w:r w:rsidRPr="00782B03">
              <w:rPr>
                <w:rFonts w:ascii="Arial" w:hAnsi="Arial" w:cs="Arial"/>
                <w:lang w:val="en-US"/>
              </w:rPr>
              <w:t xml:space="preserve"> and use the ways, methods and tools of the effective communication. </w:t>
            </w:r>
          </w:p>
          <w:p w:rsidR="00BD6692" w:rsidRPr="00782B03" w:rsidRDefault="00BD6692" w:rsidP="00BD6692">
            <w:pPr>
              <w:numPr>
                <w:ilvl w:val="0"/>
                <w:numId w:val="40"/>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Skills:</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Students follow and understand the processes of international business and world economy, the changes and effects of economic policy in the areas of law and economic policies relevant for their profession.</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After completing the course the students are able to use the main economic, </w:t>
            </w:r>
            <w:proofErr w:type="spellStart"/>
            <w:r w:rsidRPr="00782B03">
              <w:rPr>
                <w:rFonts w:ascii="Arial" w:hAnsi="Arial" w:cs="Arial"/>
                <w:lang w:val="en-US"/>
              </w:rPr>
              <w:t>organisational</w:t>
            </w:r>
            <w:proofErr w:type="spellEnd"/>
            <w:r w:rsidRPr="00782B03">
              <w:rPr>
                <w:rFonts w:ascii="Arial" w:hAnsi="Arial" w:cs="Arial"/>
                <w:lang w:val="en-US"/>
              </w:rPr>
              <w:t xml:space="preserve">, </w:t>
            </w:r>
            <w:proofErr w:type="gramStart"/>
            <w:r w:rsidRPr="00782B03">
              <w:rPr>
                <w:rFonts w:ascii="Arial" w:hAnsi="Arial" w:cs="Arial"/>
                <w:lang w:val="en-US"/>
              </w:rPr>
              <w:t>marketing</w:t>
            </w:r>
            <w:proofErr w:type="gramEnd"/>
            <w:r w:rsidRPr="00782B03">
              <w:rPr>
                <w:rFonts w:ascii="Arial" w:hAnsi="Arial" w:cs="Arial"/>
                <w:lang w:val="en-US"/>
              </w:rPr>
              <w:t xml:space="preserve">, food industrial IT </w:t>
            </w:r>
            <w:proofErr w:type="spellStart"/>
            <w:r w:rsidRPr="00782B03">
              <w:rPr>
                <w:rFonts w:ascii="Arial" w:hAnsi="Arial" w:cs="Arial"/>
                <w:lang w:val="en-US"/>
              </w:rPr>
              <w:t>standardisation</w:t>
            </w:r>
            <w:proofErr w:type="spellEnd"/>
            <w:r w:rsidRPr="00782B03">
              <w:rPr>
                <w:rFonts w:ascii="Arial" w:hAnsi="Arial" w:cs="Arial"/>
                <w:lang w:val="en-US"/>
              </w:rPr>
              <w:t xml:space="preserve"> and food industrial mechanical regulation principles of food production.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Students will be able to </w:t>
            </w:r>
            <w:proofErr w:type="spellStart"/>
            <w:r w:rsidRPr="00782B03">
              <w:rPr>
                <w:rFonts w:ascii="Arial" w:hAnsi="Arial" w:cs="Arial"/>
                <w:lang w:val="en-US"/>
              </w:rPr>
              <w:t>analyse</w:t>
            </w:r>
            <w:proofErr w:type="spellEnd"/>
            <w:r w:rsidRPr="00782B03">
              <w:rPr>
                <w:rFonts w:ascii="Arial" w:hAnsi="Arial" w:cs="Arial"/>
                <w:lang w:val="en-US"/>
              </w:rPr>
              <w:t xml:space="preserve"> the </w:t>
            </w:r>
            <w:proofErr w:type="spellStart"/>
            <w:r w:rsidRPr="00782B03">
              <w:rPr>
                <w:rFonts w:ascii="Arial" w:hAnsi="Arial" w:cs="Arial"/>
                <w:lang w:val="en-US"/>
              </w:rPr>
              <w:t>behaviour</w:t>
            </w:r>
            <w:proofErr w:type="spellEnd"/>
            <w:r w:rsidRPr="00782B03">
              <w:rPr>
                <w:rFonts w:ascii="Arial" w:hAnsi="Arial" w:cs="Arial"/>
                <w:lang w:val="en-US"/>
              </w:rPr>
              <w:t xml:space="preserve"> and the formal and informal background of the institutional network of the food chain and use this knowledge during their work.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Students will be able to complete effective self-education and to plan and to </w:t>
            </w:r>
            <w:proofErr w:type="spellStart"/>
            <w:r w:rsidRPr="00782B03">
              <w:rPr>
                <w:rFonts w:ascii="Arial" w:hAnsi="Arial" w:cs="Arial"/>
                <w:lang w:val="en-US"/>
              </w:rPr>
              <w:t>organise</w:t>
            </w:r>
            <w:proofErr w:type="spellEnd"/>
            <w:r w:rsidRPr="00782B03">
              <w:rPr>
                <w:rFonts w:ascii="Arial" w:hAnsi="Arial" w:cs="Arial"/>
                <w:lang w:val="en-US"/>
              </w:rPr>
              <w:t xml:space="preserve"> their individual studies and to find the relevant sources.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Students will be able to </w:t>
            </w:r>
            <w:proofErr w:type="spellStart"/>
            <w:r w:rsidRPr="00782B03">
              <w:rPr>
                <w:rFonts w:ascii="Arial" w:hAnsi="Arial" w:cs="Arial"/>
                <w:lang w:val="en-US"/>
              </w:rPr>
              <w:t>organise</w:t>
            </w:r>
            <w:proofErr w:type="spellEnd"/>
            <w:r w:rsidRPr="00782B03">
              <w:rPr>
                <w:rFonts w:ascii="Arial" w:hAnsi="Arial" w:cs="Arial"/>
                <w:lang w:val="en-US"/>
              </w:rPr>
              <w:t xml:space="preserve"> and check the processes of food industry. They will also be able to use their quality systems, to share the resources and to participate in the decision making processes aimed to serve the needs of the professional decisions.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With a professional control the students will be able to join research projects on the level of the operative control and performance of the project subtasks. </w:t>
            </w:r>
          </w:p>
          <w:p w:rsidR="00BD6692" w:rsidRPr="00782B03" w:rsidRDefault="00BD6692" w:rsidP="00CD0962">
            <w:pPr>
              <w:tabs>
                <w:tab w:val="left" w:pos="317"/>
              </w:tabs>
              <w:suppressAutoHyphens/>
              <w:spacing w:line="256" w:lineRule="auto"/>
              <w:ind w:firstLine="175"/>
              <w:jc w:val="both"/>
              <w:rPr>
                <w:rFonts w:ascii="Arial" w:hAnsi="Arial" w:cs="Arial"/>
                <w:lang w:val="en-US"/>
              </w:rPr>
            </w:pPr>
            <w:r w:rsidRPr="00782B03">
              <w:rPr>
                <w:rFonts w:ascii="Arial" w:hAnsi="Arial" w:cs="Arial"/>
                <w:lang w:val="en-US"/>
              </w:rPr>
              <w:t>- After completing the course students will be able to prepare a recapitulative evaluation of the relevant knowledge and to transfer it to professional user as well in oral and written ways.</w:t>
            </w:r>
          </w:p>
          <w:p w:rsidR="00BD6692" w:rsidRPr="00782B03" w:rsidRDefault="00BD6692" w:rsidP="00BD6692">
            <w:pPr>
              <w:numPr>
                <w:ilvl w:val="0"/>
                <w:numId w:val="40"/>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Attitude:</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The students will be open-minded, constructive and initiator when they will meet professional tasks. They will pursue to respects all the regulations and ethical norms during the decision making even in extraordinary cases as well.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The students accept the importance of the professional progression and of the career planning and also have a need for self-education.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The students will become recipient for opinions expressed by other people and for the sectoral, regional, national and European values (including social, societal, ecological and sustainability viewpoints).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After completing the course the students will become sensitive for the problems occurred on the fields of the food industry and pursue to </w:t>
            </w:r>
            <w:proofErr w:type="spellStart"/>
            <w:r w:rsidRPr="00782B03">
              <w:rPr>
                <w:rFonts w:ascii="Arial" w:hAnsi="Arial" w:cs="Arial"/>
                <w:lang w:val="en-US"/>
              </w:rPr>
              <w:t>analyse</w:t>
            </w:r>
            <w:proofErr w:type="spellEnd"/>
            <w:r w:rsidRPr="00782B03">
              <w:rPr>
                <w:rFonts w:ascii="Arial" w:hAnsi="Arial" w:cs="Arial"/>
                <w:lang w:val="en-US"/>
              </w:rPr>
              <w:t xml:space="preserve"> and solve them. </w:t>
            </w:r>
          </w:p>
          <w:p w:rsidR="00BD6692" w:rsidRPr="00782B03" w:rsidRDefault="00BD6692" w:rsidP="00CD0962">
            <w:pPr>
              <w:tabs>
                <w:tab w:val="left" w:pos="317"/>
              </w:tabs>
              <w:suppressAutoHyphens/>
              <w:spacing w:line="256" w:lineRule="auto"/>
              <w:ind w:firstLine="175"/>
              <w:jc w:val="both"/>
              <w:rPr>
                <w:rFonts w:ascii="Arial" w:hAnsi="Arial" w:cs="Arial"/>
                <w:lang w:val="en-US"/>
              </w:rPr>
            </w:pPr>
            <w:r w:rsidRPr="00782B03">
              <w:rPr>
                <w:rFonts w:ascii="Arial" w:hAnsi="Arial" w:cs="Arial"/>
                <w:lang w:val="en-US"/>
              </w:rPr>
              <w:t>- After completing the course the students will become engaged with the R+D+I activities in the food industry.</w:t>
            </w:r>
          </w:p>
          <w:p w:rsidR="00BD6692" w:rsidRPr="00782B03" w:rsidRDefault="00BD6692" w:rsidP="00BD6692">
            <w:pPr>
              <w:numPr>
                <w:ilvl w:val="0"/>
                <w:numId w:val="40"/>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Autonomy and responsibility:</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The course strengthens the autonomy and the responsibility of the students according to the professional, legal and ethical aspects of their job and </w:t>
            </w:r>
            <w:proofErr w:type="spellStart"/>
            <w:r w:rsidRPr="00782B03">
              <w:rPr>
                <w:rFonts w:ascii="Arial" w:hAnsi="Arial" w:cs="Arial"/>
                <w:lang w:val="en-US"/>
              </w:rPr>
              <w:t>behaviour</w:t>
            </w:r>
            <w:proofErr w:type="spellEnd"/>
            <w:r w:rsidRPr="00782B03">
              <w:rPr>
                <w:rFonts w:ascii="Arial" w:hAnsi="Arial" w:cs="Arial"/>
                <w:lang w:val="en-US"/>
              </w:rPr>
              <w:t xml:space="preserve">.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After completing the course the students will be able to solve the professional problems of the food industry individually or in cooperation with colleagues. During the problem solving the students will be liable for their work and they will be able to keep the ethical norms of their specialization.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The students will become able to do individual career planning.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With the completion of the course the students will be able to complete the management functions on the level of food producing and food handling units with responsibility for their own decisions. </w:t>
            </w:r>
          </w:p>
          <w:p w:rsidR="00BD6692" w:rsidRPr="00782B03" w:rsidRDefault="00BD6692" w:rsidP="00CD0962">
            <w:pPr>
              <w:spacing w:line="256" w:lineRule="auto"/>
              <w:ind w:firstLine="240"/>
              <w:jc w:val="both"/>
              <w:rPr>
                <w:rFonts w:ascii="Arial" w:hAnsi="Arial" w:cs="Arial"/>
                <w:lang w:val="en-US"/>
              </w:rPr>
            </w:pPr>
            <w:r w:rsidRPr="00782B03">
              <w:rPr>
                <w:rFonts w:ascii="Arial" w:hAnsi="Arial" w:cs="Arial"/>
                <w:lang w:val="en-US"/>
              </w:rPr>
              <w:t xml:space="preserve">- After completing the course the students will be able to become responsible for their own work and for the work of their subordinate colleagues. </w:t>
            </w:r>
          </w:p>
          <w:p w:rsidR="00BD6692" w:rsidRPr="00782B03" w:rsidRDefault="00BD6692" w:rsidP="00CD0962">
            <w:pPr>
              <w:tabs>
                <w:tab w:val="left" w:pos="317"/>
              </w:tabs>
              <w:suppressAutoHyphens/>
              <w:spacing w:line="256" w:lineRule="auto"/>
              <w:ind w:firstLine="175"/>
              <w:jc w:val="both"/>
              <w:rPr>
                <w:rFonts w:ascii="Arial" w:eastAsia="Times New Roman" w:hAnsi="Arial" w:cs="Arial"/>
                <w:lang w:val="en-US"/>
              </w:rPr>
            </w:pPr>
            <w:r w:rsidRPr="00782B03">
              <w:rPr>
                <w:rFonts w:ascii="Arial" w:hAnsi="Arial" w:cs="Arial"/>
                <w:lang w:val="en-US"/>
              </w:rPr>
              <w:t>- After completing the course the students will be able to be responsible for the consequences of their statements and opinions.</w:t>
            </w:r>
          </w:p>
        </w:tc>
      </w:tr>
    </w:tbl>
    <w:p w:rsidR="00BD6692" w:rsidRPr="00782B03" w:rsidRDefault="00BD6692" w:rsidP="00BD6692">
      <w:pPr>
        <w:suppressAutoHyphens/>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D6692" w:rsidRPr="00782B03"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Responsible lecturer: </w:t>
            </w:r>
            <w:proofErr w:type="spellStart"/>
            <w:r w:rsidRPr="00782B03">
              <w:rPr>
                <w:rFonts w:ascii="Arial" w:hAnsi="Arial" w:cs="Arial"/>
                <w:b/>
                <w:lang w:val="en-US"/>
              </w:rPr>
              <w:t>Mónika</w:t>
            </w:r>
            <w:proofErr w:type="spellEnd"/>
            <w:r w:rsidRPr="00782B03">
              <w:rPr>
                <w:rFonts w:ascii="Arial" w:hAnsi="Arial" w:cs="Arial"/>
                <w:b/>
                <w:lang w:val="en-US"/>
              </w:rPr>
              <w:t xml:space="preserve"> </w:t>
            </w:r>
            <w:proofErr w:type="spellStart"/>
            <w:r w:rsidRPr="00782B03">
              <w:rPr>
                <w:rFonts w:ascii="Arial" w:hAnsi="Arial" w:cs="Arial"/>
                <w:b/>
                <w:lang w:val="en-US"/>
              </w:rPr>
              <w:t>Harangi-Rákos</w:t>
            </w:r>
            <w:proofErr w:type="spellEnd"/>
            <w:r w:rsidRPr="00782B03">
              <w:rPr>
                <w:rFonts w:ascii="Arial" w:hAnsi="Arial" w:cs="Arial"/>
                <w:b/>
                <w:lang w:val="en-US"/>
              </w:rPr>
              <w:t xml:space="preserve"> PhD, assistant professor</w:t>
            </w:r>
          </w:p>
        </w:tc>
      </w:tr>
      <w:tr w:rsidR="00BD6692" w:rsidRPr="00782B03"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Other lecturer(s): </w:t>
            </w:r>
            <w:proofErr w:type="spellStart"/>
            <w:r w:rsidRPr="00782B03">
              <w:rPr>
                <w:rFonts w:ascii="Arial" w:hAnsi="Arial" w:cs="Arial"/>
                <w:b/>
                <w:lang w:val="en-US"/>
              </w:rPr>
              <w:t>János</w:t>
            </w:r>
            <w:proofErr w:type="spellEnd"/>
            <w:r w:rsidRPr="00782B03">
              <w:rPr>
                <w:rFonts w:ascii="Arial" w:hAnsi="Arial" w:cs="Arial"/>
                <w:b/>
                <w:lang w:val="en-US"/>
              </w:rPr>
              <w:t xml:space="preserve"> </w:t>
            </w:r>
            <w:proofErr w:type="spellStart"/>
            <w:r w:rsidRPr="00782B03">
              <w:rPr>
                <w:rFonts w:ascii="Arial" w:hAnsi="Arial" w:cs="Arial"/>
                <w:b/>
                <w:lang w:val="en-US"/>
              </w:rPr>
              <w:t>Szenderák</w:t>
            </w:r>
            <w:proofErr w:type="spellEnd"/>
            <w:r w:rsidRPr="00782B03">
              <w:rPr>
                <w:rFonts w:ascii="Arial" w:hAnsi="Arial" w:cs="Arial"/>
                <w:b/>
                <w:lang w:val="en-US"/>
              </w:rPr>
              <w:t xml:space="preserve">, assistant lecturer, Dr. </w:t>
            </w:r>
            <w:proofErr w:type="spellStart"/>
            <w:r w:rsidRPr="00782B03">
              <w:rPr>
                <w:rFonts w:ascii="Arial" w:hAnsi="Arial" w:cs="Arial"/>
                <w:b/>
                <w:lang w:val="en-US"/>
              </w:rPr>
              <w:t>Levente</w:t>
            </w:r>
            <w:proofErr w:type="spellEnd"/>
            <w:r w:rsidRPr="00782B03">
              <w:rPr>
                <w:rFonts w:ascii="Arial" w:hAnsi="Arial" w:cs="Arial"/>
                <w:b/>
                <w:lang w:val="en-US"/>
              </w:rPr>
              <w:t xml:space="preserve"> </w:t>
            </w:r>
            <w:proofErr w:type="spellStart"/>
            <w:r w:rsidRPr="00782B03">
              <w:rPr>
                <w:rFonts w:ascii="Arial" w:hAnsi="Arial" w:cs="Arial"/>
                <w:b/>
                <w:lang w:val="en-US"/>
              </w:rPr>
              <w:t>Nádasi</w:t>
            </w:r>
            <w:proofErr w:type="spellEnd"/>
            <w:r w:rsidRPr="00782B03">
              <w:rPr>
                <w:rFonts w:ascii="Arial" w:hAnsi="Arial" w:cs="Arial"/>
                <w:b/>
                <w:lang w:val="en-US"/>
              </w:rPr>
              <w:t>, assistant professor</w:t>
            </w:r>
          </w:p>
        </w:tc>
      </w:tr>
    </w:tbl>
    <w:p w:rsidR="00BD6692" w:rsidRPr="00782B03" w:rsidRDefault="00BD6692" w:rsidP="00BD6692">
      <w:pPr>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D6692"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BD6692"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D6692" w:rsidRPr="00782B03" w:rsidRDefault="00BD6692" w:rsidP="00BD6692">
            <w:pPr>
              <w:pStyle w:val="Listaszerbekezds"/>
              <w:numPr>
                <w:ilvl w:val="0"/>
                <w:numId w:val="41"/>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Class attendance</w:t>
            </w:r>
          </w:p>
          <w:p w:rsidR="00BD6692" w:rsidRPr="00782B03" w:rsidRDefault="00BD6692" w:rsidP="00BD6692">
            <w:pPr>
              <w:pStyle w:val="Listaszerbekezds"/>
              <w:numPr>
                <w:ilvl w:val="0"/>
                <w:numId w:val="41"/>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Completing exercises</w:t>
            </w:r>
          </w:p>
          <w:p w:rsidR="00BD6692" w:rsidRPr="00782B03" w:rsidRDefault="00BD6692" w:rsidP="00BD6692">
            <w:pPr>
              <w:pStyle w:val="Listaszerbekezds"/>
              <w:numPr>
                <w:ilvl w:val="0"/>
                <w:numId w:val="41"/>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Submitting essay</w:t>
            </w:r>
          </w:p>
          <w:p w:rsidR="00BD6692" w:rsidRPr="00782B03" w:rsidRDefault="00BD6692" w:rsidP="00BD6692">
            <w:pPr>
              <w:pStyle w:val="Listaszerbekezds"/>
              <w:numPr>
                <w:ilvl w:val="0"/>
                <w:numId w:val="41"/>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Giving presentation </w:t>
            </w:r>
          </w:p>
        </w:tc>
      </w:tr>
      <w:tr w:rsidR="00BD6692"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BD6692"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D6692" w:rsidRPr="00782B03" w:rsidRDefault="00BD6692"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Written exam</w:t>
            </w:r>
          </w:p>
        </w:tc>
      </w:tr>
      <w:tr w:rsidR="00BD6692"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BD6692"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D6692" w:rsidRPr="00782B03" w:rsidRDefault="00BD6692"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Class attendance</w:t>
            </w:r>
          </w:p>
        </w:tc>
      </w:tr>
    </w:tbl>
    <w:p w:rsidR="00BD6692" w:rsidRPr="00782B03" w:rsidRDefault="00BD6692" w:rsidP="00BD6692">
      <w:pPr>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D6692"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D6692" w:rsidRPr="00782B03" w:rsidRDefault="00BD6692"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BD6692"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is economics about?</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The concept of scarcity and opportunity cost.</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Define and characterize market demand and supply.</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Shifting factors of demand and supply.</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Describe equilibrium and non-equilibrium on the market.</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Analyze market demand with the help of demand elasticities. </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Describe various market structures.</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Define GDP and explain the different approaches to measuring it. </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is the difference between real and nominal GDP?</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Prices and quantities given, calculate nominal and real GDPs, and inflation form both GDP deflator and consumer price index.</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Explain why the consumer price index and the GDP deflator gives different numbers for the inflation rate.</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Use the price index to deflate or inflate nominal figures form different years to compare their purchasing powers.</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Define the main aggregates of the </w:t>
            </w:r>
            <w:proofErr w:type="spellStart"/>
            <w:r w:rsidRPr="00782B03">
              <w:rPr>
                <w:rFonts w:ascii="Arial" w:hAnsi="Arial" w:cs="Arial"/>
                <w:sz w:val="22"/>
                <w:szCs w:val="22"/>
                <w:lang w:val="en-US" w:eastAsia="en-US"/>
              </w:rPr>
              <w:t>labour</w:t>
            </w:r>
            <w:proofErr w:type="spellEnd"/>
            <w:r w:rsidRPr="00782B03">
              <w:rPr>
                <w:rFonts w:ascii="Arial" w:hAnsi="Arial" w:cs="Arial"/>
                <w:sz w:val="22"/>
                <w:szCs w:val="22"/>
                <w:lang w:val="en-US" w:eastAsia="en-US"/>
              </w:rPr>
              <w:t xml:space="preserve"> market.</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Define and calculate the unemployment rate.</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Define the functions of money.</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is commodity money? Mention examples.</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What are the main factors of growth in the productivity of countries? </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Describe the situation of the agriculture in the EU!</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bCs/>
                <w:sz w:val="22"/>
                <w:szCs w:val="22"/>
                <w:lang w:val="en-US" w:eastAsia="en-US"/>
              </w:rPr>
              <w:t>What are the resources of the agriculture?</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bCs/>
                <w:sz w:val="22"/>
                <w:szCs w:val="22"/>
                <w:lang w:val="en-US" w:eastAsia="en-US"/>
              </w:rPr>
              <w:t>Shares of energy sources in world primary energy demand.</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bCs/>
                <w:sz w:val="22"/>
                <w:szCs w:val="22"/>
                <w:lang w:val="en-US" w:eastAsia="en-US"/>
              </w:rPr>
              <w:t>Worldwide challenges and trends in the agricultural sector.</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bCs/>
                <w:sz w:val="22"/>
                <w:szCs w:val="22"/>
                <w:lang w:val="en-US" w:eastAsia="en-US"/>
              </w:rPr>
              <w:t>Tension between the food, energy and environmental security.</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bCs/>
                <w:sz w:val="22"/>
                <w:szCs w:val="22"/>
                <w:lang w:val="en-US" w:eastAsia="en-US"/>
              </w:rPr>
              <w:t>Pressure on global markets and local ecosystems to supply food needs.</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bCs/>
                <w:sz w:val="22"/>
                <w:szCs w:val="22"/>
                <w:lang w:val="en-US" w:eastAsia="en-US"/>
              </w:rPr>
              <w:t>Developments in global food and agricultural sectors.</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bCs/>
                <w:sz w:val="22"/>
                <w:szCs w:val="22"/>
                <w:lang w:val="en-US" w:eastAsia="en-US"/>
              </w:rPr>
              <w:t>Livestock food in the diet.</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bCs/>
                <w:sz w:val="22"/>
                <w:szCs w:val="22"/>
                <w:lang w:val="en-US" w:eastAsia="en-US"/>
              </w:rPr>
              <w:t>Who are the members of the European Union?</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most important treaties of the EU?</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Describe the different decision making processes of the EU!</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Describe the tasks and responsibilities of the different EU institutions!</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How does the EU spend the money?</w:t>
            </w:r>
          </w:p>
          <w:p w:rsidR="00BD6692" w:rsidRPr="00782B03" w:rsidRDefault="00BD6692" w:rsidP="00BD6692">
            <w:pPr>
              <w:pStyle w:val="Listaszerbekezds"/>
              <w:numPr>
                <w:ilvl w:val="0"/>
                <w:numId w:val="4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main reforms in the Common Agricultural Policy?</w:t>
            </w:r>
          </w:p>
        </w:tc>
      </w:tr>
    </w:tbl>
    <w:p w:rsidR="00F42A96" w:rsidRPr="00BD6692" w:rsidRDefault="00F42A96" w:rsidP="00BD6692"/>
    <w:sectPr w:rsidR="00F42A96" w:rsidRPr="00BD6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407"/>
    <w:multiLevelType w:val="hybridMultilevel"/>
    <w:tmpl w:val="16F407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6807E2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09635A9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CB3C3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116218D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1" w15:restartNumberingAfterBreak="0">
    <w:nsid w:val="1F1F12A4"/>
    <w:multiLevelType w:val="hybridMultilevel"/>
    <w:tmpl w:val="7E620C84"/>
    <w:lvl w:ilvl="0" w:tplc="7BE6991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F9E2C4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2944455C"/>
    <w:multiLevelType w:val="hybridMultilevel"/>
    <w:tmpl w:val="2842E79E"/>
    <w:lvl w:ilvl="0" w:tplc="81226C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871CF7"/>
    <w:multiLevelType w:val="hybridMultilevel"/>
    <w:tmpl w:val="28C68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D81682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321C2B68"/>
    <w:multiLevelType w:val="hybridMultilevel"/>
    <w:tmpl w:val="D56E793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40A52D97"/>
    <w:multiLevelType w:val="hybridMultilevel"/>
    <w:tmpl w:val="8C3E90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0C2D8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44D323EE"/>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4F8D2070"/>
    <w:multiLevelType w:val="hybridMultilevel"/>
    <w:tmpl w:val="2FE0F3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4" w15:restartNumberingAfterBreak="0">
    <w:nsid w:val="5BA7549A"/>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3DD6E59"/>
    <w:multiLevelType w:val="hybridMultilevel"/>
    <w:tmpl w:val="B8981234"/>
    <w:lvl w:ilvl="0" w:tplc="1ACA267C">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27"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B1B401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6E64512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1" w15:restartNumberingAfterBreak="0">
    <w:nsid w:val="701227F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2"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3" w15:restartNumberingAfterBreak="0">
    <w:nsid w:val="73D755F0"/>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4" w15:restartNumberingAfterBreak="0">
    <w:nsid w:val="73E97FB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5" w15:restartNumberingAfterBreak="0">
    <w:nsid w:val="74FE07E8"/>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7"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7"/>
  </w:num>
  <w:num w:numId="4">
    <w:abstractNumId w:val="17"/>
  </w:num>
  <w:num w:numId="5">
    <w:abstractNumId w:val="25"/>
  </w:num>
  <w:num w:numId="6">
    <w:abstractNumId w:val="18"/>
  </w:num>
  <w:num w:numId="7">
    <w:abstractNumId w:val="1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7"/>
  </w:num>
  <w:num w:numId="21">
    <w:abstractNumId w:val="3"/>
  </w:num>
  <w:num w:numId="22">
    <w:abstractNumId w:val="12"/>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7"/>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5"/>
  </w:num>
  <w:num w:numId="30">
    <w:abstractNumId w:val="9"/>
  </w:num>
  <w:num w:numId="31">
    <w:abstractNumId w:val="6"/>
  </w:num>
  <w:num w:numId="32">
    <w:abstractNumId w:val="29"/>
  </w:num>
  <w:num w:numId="33">
    <w:abstractNumId w:val="1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4"/>
  </w:num>
  <w:num w:numId="41">
    <w:abstractNumId w:val="2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3777F0"/>
    <w:rsid w:val="004600AD"/>
    <w:rsid w:val="00576CBA"/>
    <w:rsid w:val="00582EF4"/>
    <w:rsid w:val="00632521"/>
    <w:rsid w:val="00BD6692"/>
    <w:rsid w:val="00BF07EF"/>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bnsearch.org/isbn/9783804738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urostat/statistics-explained/index.php/Farm_structure_statistics" TargetMode="External"/><Relationship Id="rId5" Type="http://schemas.openxmlformats.org/officeDocument/2006/relationships/hyperlink" Target="http://eur-lex.europa.eu/legal-content/EN/TXT/?uri=CELEX:52016PC0767R%2801%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9476</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2019-08-28T09:44:00Z</dcterms:created>
  <dcterms:modified xsi:type="dcterms:W3CDTF">2019-08-28T09:44:00Z</dcterms:modified>
</cp:coreProperties>
</file>